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A5FAF" w14:textId="3066645B" w:rsidR="007A6D02" w:rsidRPr="007A6D02" w:rsidRDefault="007A6D02" w:rsidP="007A6D02">
      <w:pPr>
        <w:pStyle w:val="CRCoverPage"/>
        <w:tabs>
          <w:tab w:val="right" w:pos="9639"/>
        </w:tabs>
        <w:spacing w:after="0"/>
        <w:rPr>
          <w:rFonts w:ascii="Arial" w:eastAsia="MS Mincho" w:hAnsi="Arial" w:cs="Times New Roman"/>
          <w:b/>
          <w:sz w:val="24"/>
        </w:rPr>
      </w:pPr>
      <w:bookmarkStart w:id="0" w:name="_Hlk187399964"/>
      <w:bookmarkStart w:id="1" w:name="_Toc193024528"/>
      <w:bookmarkStart w:id="2" w:name="_Hlk187400005"/>
      <w:r w:rsidRPr="007A6D02">
        <w:rPr>
          <w:rFonts w:ascii="Arial" w:eastAsia="MS Mincho" w:hAnsi="Arial" w:cs="Times New Roman"/>
          <w:b/>
          <w:sz w:val="24"/>
        </w:rPr>
        <w:t>3GPP TSG-RAN WG2 Meeting #1</w:t>
      </w:r>
      <w:r>
        <w:rPr>
          <w:rFonts w:ascii="Arial" w:eastAsia="MS Mincho" w:hAnsi="Arial" w:cs="Times New Roman"/>
          <w:b/>
          <w:sz w:val="24"/>
        </w:rPr>
        <w:t>30</w:t>
      </w:r>
      <w:r w:rsidRPr="007A6D02">
        <w:rPr>
          <w:rFonts w:ascii="Arial" w:eastAsia="MS Mincho" w:hAnsi="Arial" w:cs="Times New Roman"/>
          <w:b/>
          <w:sz w:val="24"/>
        </w:rPr>
        <w:tab/>
        <w:t>R2-25</w:t>
      </w:r>
      <w:r w:rsidR="002B3137">
        <w:rPr>
          <w:rFonts w:ascii="Arial" w:eastAsia="MS Mincho" w:hAnsi="Arial" w:cs="Times New Roman"/>
          <w:b/>
          <w:sz w:val="24"/>
        </w:rPr>
        <w:t>04070</w:t>
      </w:r>
    </w:p>
    <w:p w14:paraId="7D356568" w14:textId="3D59236A" w:rsidR="007A6D02" w:rsidRPr="007A6D02" w:rsidRDefault="002B3137" w:rsidP="007A6D02">
      <w:pPr>
        <w:pStyle w:val="CRCoverPage"/>
        <w:tabs>
          <w:tab w:val="right" w:pos="9639"/>
        </w:tabs>
        <w:spacing w:after="0"/>
        <w:rPr>
          <w:rFonts w:ascii="Arial" w:eastAsia="MS Mincho" w:hAnsi="Arial" w:cs="Times New Roman"/>
          <w:b/>
          <w:sz w:val="24"/>
        </w:rPr>
      </w:pPr>
      <w:r w:rsidRPr="00432F27">
        <w:rPr>
          <w:rFonts w:ascii="Arial" w:eastAsia="Times New Roman" w:hAnsi="Arial" w:cs="Arial"/>
          <w:b/>
          <w:bCs/>
          <w:sz w:val="24"/>
          <w:szCs w:val="24"/>
        </w:rPr>
        <w:t xml:space="preserve">St. </w:t>
      </w:r>
      <w:proofErr w:type="spellStart"/>
      <w:r w:rsidRPr="00432F27">
        <w:rPr>
          <w:rFonts w:ascii="Arial" w:eastAsia="Times New Roman" w:hAnsi="Arial" w:cs="Arial"/>
          <w:b/>
          <w:bCs/>
          <w:sz w:val="24"/>
          <w:szCs w:val="24"/>
        </w:rPr>
        <w:t>Julians</w:t>
      </w:r>
      <w:proofErr w:type="spellEnd"/>
      <w:r w:rsidRPr="00432F27">
        <w:rPr>
          <w:rFonts w:ascii="Arial" w:eastAsia="Times New Roman" w:hAnsi="Arial" w:cs="Arial"/>
          <w:b/>
          <w:bCs/>
          <w:sz w:val="24"/>
          <w:szCs w:val="24"/>
        </w:rPr>
        <w:t>, Malta, 19 - 23 May 2025</w:t>
      </w:r>
      <w:bookmarkStart w:id="3" w:name="_GoBack"/>
      <w:bookmarkEnd w:id="3"/>
    </w:p>
    <w:p w14:paraId="048046C4" w14:textId="77777777" w:rsidR="007A6D02" w:rsidRPr="00EB1125" w:rsidRDefault="007A6D02" w:rsidP="007A6D02">
      <w:pPr>
        <w:pStyle w:val="a6"/>
        <w:spacing w:before="120"/>
        <w:rPr>
          <w:rFonts w:ascii="Times New Roman" w:hAnsi="Times New Roman" w:cs="Times New Roman"/>
          <w:bCs/>
          <w:noProof w:val="0"/>
          <w:sz w:val="24"/>
          <w:lang w:val="en-US" w:eastAsia="zh-CN"/>
        </w:rPr>
      </w:pPr>
    </w:p>
    <w:p w14:paraId="48277AAF" w14:textId="77777777" w:rsidR="007A6D02" w:rsidRPr="007A6D02" w:rsidRDefault="007A6D02" w:rsidP="007A6D02">
      <w:pPr>
        <w:tabs>
          <w:tab w:val="left" w:pos="1843"/>
        </w:tabs>
        <w:rPr>
          <w:rFonts w:ascii="Arial" w:eastAsia="Times New Roman" w:hAnsi="Arial" w:cs="Arial"/>
          <w:b/>
          <w:sz w:val="24"/>
          <w:lang w:val="en-US"/>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4" w:name="Source"/>
      <w:bookmarkEnd w:id="4"/>
      <w:r>
        <w:rPr>
          <w:rFonts w:ascii="Arial" w:eastAsia="Times New Roman" w:hAnsi="Arial" w:cs="Arial"/>
          <w:b/>
          <w:sz w:val="24"/>
          <w:lang w:val="en-US"/>
        </w:rPr>
        <w:t>8.17</w:t>
      </w:r>
    </w:p>
    <w:p w14:paraId="2D9A6F3B" w14:textId="77777777" w:rsidR="007A6D02" w:rsidRPr="008F603D" w:rsidRDefault="007A6D02" w:rsidP="007A6D02">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18A9F43E" w14:textId="11ED9721" w:rsidR="007A6D02" w:rsidRPr="000538F9" w:rsidRDefault="007A6D02" w:rsidP="007A6D02">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2B3137" w:rsidRPr="002B3137">
        <w:rPr>
          <w:rFonts w:ascii="Arial" w:eastAsia="Times New Roman" w:hAnsi="Arial" w:cs="Arial"/>
          <w:b/>
          <w:sz w:val="24"/>
          <w:lang w:val="en-US"/>
        </w:rPr>
        <w:t>Discussion on RAN2 impacts of IoT-NTN TDD</w:t>
      </w:r>
    </w:p>
    <w:p w14:paraId="4B0B9EC7" w14:textId="77777777" w:rsidR="007A6D02" w:rsidRPr="008F603D" w:rsidRDefault="007A6D02" w:rsidP="007A6D02">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5" w:name="DocumentFor"/>
      <w:bookmarkEnd w:id="5"/>
      <w:r w:rsidRPr="008F603D">
        <w:rPr>
          <w:rFonts w:ascii="Arial" w:eastAsia="Times New Roman" w:hAnsi="Arial" w:cs="Arial"/>
          <w:b/>
          <w:sz w:val="24"/>
          <w:lang w:val="en-US"/>
        </w:rPr>
        <w:t>Discussion and Decision</w:t>
      </w:r>
    </w:p>
    <w:p w14:paraId="17D7113C" w14:textId="77777777" w:rsidR="007A6D02" w:rsidRDefault="007A6D02" w:rsidP="007A6D02">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bookmarkStart w:id="6" w:name="_Ref124589705"/>
      <w:bookmarkStart w:id="7" w:name="_Ref129681862"/>
      <w:bookmarkEnd w:id="0"/>
      <w:bookmarkEnd w:id="1"/>
      <w:bookmarkEnd w:id="2"/>
      <w:r w:rsidRPr="00C02CCE">
        <w:rPr>
          <w:rFonts w:ascii="Arial" w:eastAsia="Times New Roman" w:hAnsi="Arial"/>
          <w:lang w:eastAsia="en-GB"/>
        </w:rPr>
        <w:t>Introduction</w:t>
      </w:r>
      <w:bookmarkEnd w:id="6"/>
      <w:bookmarkEnd w:id="7"/>
    </w:p>
    <w:p w14:paraId="30BCF594" w14:textId="77777777" w:rsidR="007A6D02" w:rsidRPr="00EF0C1E" w:rsidRDefault="007A6D02" w:rsidP="007A6D02">
      <w:pPr>
        <w:rPr>
          <w:rFonts w:eastAsiaTheme="minorEastAsia"/>
          <w:lang w:eastAsia="zh-CN"/>
        </w:rPr>
      </w:pPr>
      <w:r w:rsidRPr="002A3236">
        <w:rPr>
          <w:rFonts w:eastAsia="宋体"/>
          <w:bCs/>
          <w:iCs/>
          <w:lang w:eastAsia="zh-CN"/>
        </w:rPr>
        <w:t xml:space="preserve">In RAN#105, </w:t>
      </w:r>
      <w:r>
        <w:rPr>
          <w:lang w:eastAsia="zh-CN"/>
        </w:rPr>
        <w:t>a new work item</w:t>
      </w:r>
      <w:r w:rsidRPr="002A3236">
        <w:rPr>
          <w:rFonts w:eastAsia="宋体"/>
          <w:bCs/>
          <w:iCs/>
          <w:lang w:eastAsia="zh-CN"/>
        </w:rPr>
        <w:t xml:space="preserve"> </w:t>
      </w:r>
      <w:r w:rsidRPr="002A3236">
        <w:rPr>
          <w:rFonts w:hint="eastAsia"/>
          <w:lang w:eastAsia="zh-CN"/>
        </w:rPr>
        <w:t>was approved</w:t>
      </w:r>
      <w:r w:rsidRPr="002A3236">
        <w:rPr>
          <w:rFonts w:eastAsia="宋体" w:hint="eastAsia"/>
          <w:bCs/>
          <w:iCs/>
          <w:lang w:eastAsia="zh-CN"/>
        </w:rPr>
        <w:t xml:space="preserve"> to</w:t>
      </w:r>
      <w:r w:rsidRPr="002A3236">
        <w:rPr>
          <w:rFonts w:eastAsia="宋体"/>
          <w:bCs/>
          <w:iCs/>
          <w:lang w:eastAsia="zh-CN"/>
        </w:rPr>
        <w:t xml:space="preserve"> introduce NB-IoT TDD mode </w:t>
      </w:r>
      <w:r>
        <w:t>exclusively</w:t>
      </w:r>
      <w:r w:rsidRPr="002A3236" w:rsidDel="0049384D">
        <w:rPr>
          <w:rFonts w:eastAsia="宋体"/>
          <w:bCs/>
          <w:iCs/>
          <w:lang w:eastAsia="zh-CN"/>
        </w:rPr>
        <w:t xml:space="preserve"> </w:t>
      </w:r>
      <w:r w:rsidRPr="002A3236">
        <w:rPr>
          <w:rFonts w:eastAsia="宋体"/>
          <w:bCs/>
          <w:iCs/>
          <w:lang w:eastAsia="zh-CN"/>
        </w:rPr>
        <w:t xml:space="preserve">for 1616-1626.5 MHz </w:t>
      </w:r>
      <w:r>
        <w:rPr>
          <w:rFonts w:eastAsia="宋体"/>
          <w:bCs/>
          <w:iCs/>
          <w:lang w:eastAsia="zh-CN"/>
        </w:rPr>
        <w:t>M</w:t>
      </w:r>
      <w:r w:rsidRPr="003374BA">
        <w:rPr>
          <w:rFonts w:eastAsia="宋体"/>
          <w:bCs/>
          <w:iCs/>
          <w:lang w:eastAsia="zh-CN"/>
        </w:rPr>
        <w:t xml:space="preserve">obile </w:t>
      </w:r>
      <w:r>
        <w:rPr>
          <w:rFonts w:eastAsia="宋体"/>
          <w:bCs/>
          <w:iCs/>
          <w:lang w:eastAsia="zh-CN"/>
        </w:rPr>
        <w:t>S</w:t>
      </w:r>
      <w:r w:rsidRPr="003374BA">
        <w:rPr>
          <w:rFonts w:eastAsia="宋体"/>
          <w:bCs/>
          <w:iCs/>
          <w:lang w:eastAsia="zh-CN"/>
        </w:rPr>
        <w:t xml:space="preserve">atellite </w:t>
      </w:r>
      <w:r>
        <w:rPr>
          <w:rFonts w:eastAsia="宋体"/>
          <w:bCs/>
          <w:iCs/>
          <w:lang w:eastAsia="zh-CN"/>
        </w:rPr>
        <w:t>S</w:t>
      </w:r>
      <w:r w:rsidRPr="003374BA">
        <w:rPr>
          <w:rFonts w:eastAsia="宋体"/>
          <w:bCs/>
          <w:iCs/>
          <w:lang w:eastAsia="zh-CN"/>
        </w:rPr>
        <w:t xml:space="preserve">ervices </w:t>
      </w:r>
      <w:r w:rsidRPr="002A3236">
        <w:rPr>
          <w:rFonts w:eastAsia="宋体"/>
          <w:bCs/>
          <w:iCs/>
          <w:lang w:eastAsia="zh-CN"/>
        </w:rPr>
        <w:t>MSS band [1].</w:t>
      </w:r>
      <w:r>
        <w:rPr>
          <w:rFonts w:eastAsiaTheme="minorEastAsia"/>
          <w:lang w:eastAsia="zh-CN"/>
        </w:rPr>
        <w:t xml:space="preserve"> During the </w:t>
      </w:r>
      <w:r>
        <w:rPr>
          <w:lang w:eastAsia="en-GB"/>
        </w:rPr>
        <w:t>RAN1#119</w:t>
      </w:r>
      <w:r w:rsidRPr="00C958BE">
        <w:rPr>
          <w:lang w:eastAsia="en-GB"/>
        </w:rPr>
        <w:t xml:space="preserve"> </w:t>
      </w:r>
      <w:r>
        <w:rPr>
          <w:lang w:eastAsia="en-GB"/>
        </w:rPr>
        <w:t>meeting</w:t>
      </w:r>
      <w:r>
        <w:rPr>
          <w:rFonts w:hint="eastAsia"/>
          <w:lang w:eastAsia="zh-CN"/>
        </w:rPr>
        <w:t>,</w:t>
      </w:r>
      <w:r>
        <w:rPr>
          <w:lang w:eastAsia="zh-CN"/>
        </w:rPr>
        <w:t xml:space="preserve"> some agreements were made for </w:t>
      </w:r>
      <w:r w:rsidRPr="00A256DF">
        <w:rPr>
          <w:lang w:eastAsia="zh-CN"/>
        </w:rPr>
        <w:t xml:space="preserve">the TDD pattern and the corresponding </w:t>
      </w:r>
      <w:r w:rsidRPr="001015A4">
        <w:rPr>
          <w:lang w:val="en-US"/>
        </w:rPr>
        <w:t>frame structure</w:t>
      </w:r>
      <w:r w:rsidRPr="00A256DF">
        <w:rPr>
          <w:lang w:eastAsia="zh-CN"/>
        </w:rPr>
        <w:t xml:space="preserve"> [2]</w:t>
      </w:r>
      <w:r>
        <w:rPr>
          <w:lang w:eastAsia="zh-CN"/>
        </w:rPr>
        <w:t xml:space="preserve">, as listed below. </w:t>
      </w:r>
    </w:p>
    <w:tbl>
      <w:tblPr>
        <w:tblStyle w:val="af5"/>
        <w:tblW w:w="0" w:type="auto"/>
        <w:tblLook w:val="04A0" w:firstRow="1" w:lastRow="0" w:firstColumn="1" w:lastColumn="0" w:noHBand="0" w:noVBand="1"/>
      </w:tblPr>
      <w:tblGrid>
        <w:gridCol w:w="9307"/>
      </w:tblGrid>
      <w:tr w:rsidR="007A6D02" w14:paraId="4DF53007" w14:textId="77777777" w:rsidTr="009729DB">
        <w:tc>
          <w:tcPr>
            <w:tcW w:w="9307" w:type="dxa"/>
          </w:tcPr>
          <w:p w14:paraId="5C25ECE1" w14:textId="77777777" w:rsidR="007A6D02" w:rsidRPr="001015A4" w:rsidRDefault="007A6D02" w:rsidP="009729DB">
            <w:pPr>
              <w:rPr>
                <w:lang w:val="en-US"/>
              </w:rPr>
            </w:pPr>
            <w:r w:rsidRPr="0085125A">
              <w:rPr>
                <w:lang w:val="en-US"/>
              </w:rPr>
              <w:t>Agreement</w:t>
            </w:r>
            <w:r>
              <w:rPr>
                <w:rFonts w:ascii="宋体" w:eastAsia="宋体" w:hAnsi="宋体" w:cs="宋体" w:hint="eastAsia"/>
                <w:lang w:val="en-US" w:eastAsia="zh-CN"/>
              </w:rPr>
              <w:t>：</w:t>
            </w:r>
          </w:p>
          <w:p w14:paraId="35FD63D5" w14:textId="77777777" w:rsidR="007A6D02" w:rsidRPr="001015A4" w:rsidRDefault="007A6D02" w:rsidP="009729DB">
            <w:pPr>
              <w:rPr>
                <w:lang w:val="en-US"/>
              </w:rPr>
            </w:pPr>
            <w:r w:rsidRPr="001015A4">
              <w:rPr>
                <w:lang w:val="en-US"/>
              </w:rPr>
              <w:t>Regarding operation within the same band as the TDD frame structure of legacy system in the 1.6GHz MSS band (shown below), RAN1 work in Rel-19 considers the following design constraints:</w:t>
            </w:r>
          </w:p>
          <w:p w14:paraId="54EBB207" w14:textId="77777777" w:rsidR="007A6D02" w:rsidRPr="001015A4" w:rsidRDefault="007A6D02" w:rsidP="009729DB">
            <w:pPr>
              <w:pStyle w:val="afff2"/>
              <w:numPr>
                <w:ilvl w:val="0"/>
                <w:numId w:val="34"/>
              </w:numPr>
              <w:overflowPunct w:val="0"/>
              <w:autoSpaceDE w:val="0"/>
              <w:autoSpaceDN w:val="0"/>
              <w:adjustRightInd w:val="0"/>
              <w:spacing w:after="0"/>
              <w:ind w:firstLineChars="0"/>
              <w:contextualSpacing/>
              <w:textAlignment w:val="baseline"/>
            </w:pPr>
            <w:r w:rsidRPr="001015A4">
              <w:t>At the satellite, all downlink NB-IoT channels/signals in a cell can only use one of the downlink slots in the TDD frame structure (DL1, DL2, DL3 or DL4) across 90ms periods.</w:t>
            </w:r>
          </w:p>
          <w:p w14:paraId="7119939A" w14:textId="77777777" w:rsidR="007A6D02" w:rsidRPr="001015A4" w:rsidRDefault="007A6D02" w:rsidP="009729DB">
            <w:pPr>
              <w:pStyle w:val="afff2"/>
              <w:numPr>
                <w:ilvl w:val="1"/>
                <w:numId w:val="34"/>
              </w:numPr>
              <w:overflowPunct w:val="0"/>
              <w:autoSpaceDE w:val="0"/>
              <w:autoSpaceDN w:val="0"/>
              <w:adjustRightInd w:val="0"/>
              <w:spacing w:after="0"/>
              <w:ind w:firstLineChars="0"/>
              <w:contextualSpacing/>
              <w:textAlignment w:val="baseline"/>
            </w:pPr>
            <w:r w:rsidRPr="001015A4">
              <w:t>The same downlink slot is used in all the 90ms periods.</w:t>
            </w:r>
          </w:p>
          <w:p w14:paraId="7D406BB5" w14:textId="77777777" w:rsidR="007A6D02" w:rsidRPr="001015A4" w:rsidRDefault="007A6D02" w:rsidP="009729DB">
            <w:pPr>
              <w:pStyle w:val="afff2"/>
              <w:numPr>
                <w:ilvl w:val="0"/>
                <w:numId w:val="34"/>
              </w:numPr>
              <w:overflowPunct w:val="0"/>
              <w:autoSpaceDE w:val="0"/>
              <w:autoSpaceDN w:val="0"/>
              <w:adjustRightInd w:val="0"/>
              <w:spacing w:after="0"/>
              <w:ind w:firstLineChars="0"/>
              <w:contextualSpacing/>
              <w:textAlignment w:val="baseline"/>
              <w:rPr>
                <w:lang w:val="en-US"/>
              </w:rPr>
            </w:pPr>
            <w:r w:rsidRPr="001015A4">
              <w:t>At the satellite, all uplink NB-IoT channels in a cell can only use one of the uplink slots in the TDD frame structure (UL1, UL2, UL3 or UL4) across 90ms periods</w:t>
            </w:r>
            <w:r w:rsidRPr="001015A4">
              <w:rPr>
                <w:lang w:val="en-US"/>
              </w:rPr>
              <w:t>.</w:t>
            </w:r>
          </w:p>
          <w:p w14:paraId="2B710D32" w14:textId="77777777" w:rsidR="007A6D02" w:rsidRPr="001015A4" w:rsidRDefault="007A6D02" w:rsidP="009729DB">
            <w:pPr>
              <w:pStyle w:val="afff2"/>
              <w:numPr>
                <w:ilvl w:val="1"/>
                <w:numId w:val="34"/>
              </w:numPr>
              <w:overflowPunct w:val="0"/>
              <w:autoSpaceDE w:val="0"/>
              <w:autoSpaceDN w:val="0"/>
              <w:adjustRightInd w:val="0"/>
              <w:spacing w:after="0"/>
              <w:ind w:firstLineChars="0"/>
              <w:contextualSpacing/>
              <w:textAlignment w:val="baseline"/>
            </w:pPr>
            <w:r w:rsidRPr="001015A4">
              <w:t>The same uplink slot is used in all the 90ms periods.</w:t>
            </w:r>
          </w:p>
          <w:p w14:paraId="2B13F62E" w14:textId="77777777" w:rsidR="007A6D02" w:rsidRPr="001015A4" w:rsidRDefault="007A6D02" w:rsidP="009729DB">
            <w:pPr>
              <w:pStyle w:val="afff2"/>
              <w:numPr>
                <w:ilvl w:val="0"/>
                <w:numId w:val="34"/>
              </w:numPr>
              <w:overflowPunct w:val="0"/>
              <w:autoSpaceDE w:val="0"/>
              <w:autoSpaceDN w:val="0"/>
              <w:adjustRightInd w:val="0"/>
              <w:spacing w:after="0"/>
              <w:ind w:firstLineChars="0"/>
              <w:contextualSpacing/>
              <w:textAlignment w:val="baseline"/>
              <w:rPr>
                <w:lang w:val="en-US"/>
              </w:rPr>
            </w:pPr>
            <w:r w:rsidRPr="001015A4">
              <w:rPr>
                <w:lang w:val="en-US"/>
              </w:rPr>
              <w:t>The one uplink slot and one downlink slot in the TDD frame structure have the same index (DL1 &amp; UL1, DL2 &amp; UL2, DL3 &amp; UL3, or DL4 &amp; UL4).</w:t>
            </w:r>
          </w:p>
          <w:p w14:paraId="37D81356" w14:textId="77777777" w:rsidR="007A6D02" w:rsidRPr="001015A4" w:rsidRDefault="007A6D02" w:rsidP="009729DB">
            <w:pPr>
              <w:pStyle w:val="afff2"/>
              <w:numPr>
                <w:ilvl w:val="0"/>
                <w:numId w:val="34"/>
              </w:numPr>
              <w:overflowPunct w:val="0"/>
              <w:autoSpaceDE w:val="0"/>
              <w:autoSpaceDN w:val="0"/>
              <w:adjustRightInd w:val="0"/>
              <w:spacing w:after="0"/>
              <w:ind w:firstLineChars="0"/>
              <w:contextualSpacing/>
              <w:textAlignment w:val="baseline"/>
              <w:rPr>
                <w:lang w:val="en-US"/>
              </w:rPr>
            </w:pPr>
            <w:r w:rsidRPr="001015A4">
              <w:t>NOTE: this does not imply that the only configuration(s) to be specified are according to these constraints.</w:t>
            </w:r>
          </w:p>
          <w:p w14:paraId="776A8ECC" w14:textId="77777777" w:rsidR="007A6D02" w:rsidRPr="000C0E7F" w:rsidRDefault="007A6D02" w:rsidP="009729DB">
            <w:pPr>
              <w:jc w:val="center"/>
              <w:rPr>
                <w:lang w:val="en-US"/>
              </w:rPr>
            </w:pPr>
            <w:r w:rsidRPr="001015A4">
              <w:rPr>
                <w:noProof/>
                <w:lang w:val="en-US" w:eastAsia="zh-CN"/>
              </w:rPr>
              <w:drawing>
                <wp:inline distT="0" distB="0" distL="0" distR="0" wp14:anchorId="1D388957" wp14:editId="1CF98741">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tc>
      </w:tr>
    </w:tbl>
    <w:p w14:paraId="52406990" w14:textId="77777777" w:rsidR="007A6D02" w:rsidRDefault="007A6D02" w:rsidP="007A6D02">
      <w:pPr>
        <w:spacing w:before="120"/>
        <w:jc w:val="both"/>
        <w:rPr>
          <w:lang w:eastAsia="zh-CN"/>
        </w:rPr>
      </w:pPr>
      <w:r>
        <w:rPr>
          <w:lang w:eastAsia="zh-CN"/>
        </w:rPr>
        <w:t xml:space="preserve">The </w:t>
      </w:r>
      <w:r w:rsidRPr="0012172F">
        <w:rPr>
          <w:lang w:eastAsia="zh-CN"/>
        </w:rPr>
        <w:t xml:space="preserve">WID </w:t>
      </w:r>
      <w:r>
        <w:rPr>
          <w:lang w:eastAsia="zh-CN"/>
        </w:rPr>
        <w:t xml:space="preserve">was revised </w:t>
      </w:r>
      <w:r w:rsidRPr="0012172F">
        <w:rPr>
          <w:lang w:eastAsia="zh-CN"/>
        </w:rPr>
        <w:t xml:space="preserve">in </w:t>
      </w:r>
      <w:r>
        <w:rPr>
          <w:lang w:eastAsia="zh-CN"/>
        </w:rPr>
        <w:t>RAN#106 [3] to r</w:t>
      </w:r>
      <w:r w:rsidRPr="0012172F">
        <w:rPr>
          <w:lang w:eastAsia="zh-CN"/>
        </w:rPr>
        <w:t>eflec</w:t>
      </w:r>
      <w:r>
        <w:rPr>
          <w:lang w:eastAsia="zh-CN"/>
        </w:rPr>
        <w:t>t</w:t>
      </w:r>
      <w:r w:rsidRPr="0012172F">
        <w:rPr>
          <w:lang w:eastAsia="zh-CN"/>
        </w:rPr>
        <w:t xml:space="preserve"> RAN1 </w:t>
      </w:r>
      <w:r>
        <w:rPr>
          <w:lang w:eastAsia="zh-CN"/>
        </w:rPr>
        <w:t>progress</w:t>
      </w:r>
      <w:r w:rsidRPr="0012172F">
        <w:rPr>
          <w:lang w:eastAsia="zh-CN"/>
        </w:rPr>
        <w:t xml:space="preserve"> </w:t>
      </w:r>
      <w:r>
        <w:rPr>
          <w:lang w:eastAsia="zh-CN"/>
        </w:rPr>
        <w:t xml:space="preserve">and narrow down </w:t>
      </w:r>
      <w:r w:rsidRPr="0012172F">
        <w:rPr>
          <w:lang w:eastAsia="zh-CN"/>
        </w:rPr>
        <w:t>the scope of the solutions</w:t>
      </w:r>
      <w:r>
        <w:rPr>
          <w:lang w:eastAsia="zh-CN"/>
        </w:rPr>
        <w:t>.</w:t>
      </w:r>
    </w:p>
    <w:p w14:paraId="0C1E9E2B" w14:textId="1A91B8ED" w:rsidR="007A6D02" w:rsidRDefault="007A6D02" w:rsidP="007A6D02">
      <w:pPr>
        <w:rPr>
          <w:rFonts w:eastAsiaTheme="minorEastAsia"/>
          <w:lang w:eastAsia="zh-CN"/>
        </w:rPr>
      </w:pPr>
      <w:r>
        <w:rPr>
          <w:lang w:eastAsia="zh-CN"/>
        </w:rPr>
        <w:t>In RAN2#129b meeting [4]</w:t>
      </w:r>
      <w:r>
        <w:rPr>
          <w:rFonts w:ascii="宋体" w:eastAsia="宋体" w:hAnsi="宋体" w:cs="宋体"/>
          <w:lang w:eastAsia="zh-CN"/>
        </w:rPr>
        <w:t>,</w:t>
      </w:r>
      <w:r>
        <w:rPr>
          <w:lang w:eastAsia="zh-CN"/>
        </w:rPr>
        <w:t xml:space="preserve"> the following agreements were reached for RAN2 </w:t>
      </w:r>
      <w:r w:rsidRPr="00EF0C1E">
        <w:rPr>
          <w:lang w:eastAsia="zh-CN"/>
        </w:rPr>
        <w:t xml:space="preserve">impacts of </w:t>
      </w:r>
      <w:r>
        <w:t>this new WID.</w:t>
      </w:r>
    </w:p>
    <w:tbl>
      <w:tblPr>
        <w:tblStyle w:val="af5"/>
        <w:tblW w:w="0" w:type="auto"/>
        <w:tblLook w:val="04A0" w:firstRow="1" w:lastRow="0" w:firstColumn="1" w:lastColumn="0" w:noHBand="0" w:noVBand="1"/>
      </w:tblPr>
      <w:tblGrid>
        <w:gridCol w:w="9307"/>
      </w:tblGrid>
      <w:tr w:rsidR="007A6D02" w14:paraId="43D06F58" w14:textId="77777777" w:rsidTr="009729DB">
        <w:tc>
          <w:tcPr>
            <w:tcW w:w="9307" w:type="dxa"/>
          </w:tcPr>
          <w:p w14:paraId="0DA69DD5" w14:textId="77777777" w:rsidR="007A6D02" w:rsidRPr="001B1951" w:rsidRDefault="007A6D02" w:rsidP="009729DB">
            <w:pPr>
              <w:rPr>
                <w:b/>
                <w:lang w:eastAsia="zh-CN"/>
              </w:rPr>
            </w:pPr>
            <w:r w:rsidRPr="001B1951">
              <w:rPr>
                <w:b/>
                <w:lang w:eastAsia="zh-CN"/>
              </w:rPr>
              <w:t>Agreements:</w:t>
            </w:r>
          </w:p>
          <w:p w14:paraId="4700754C" w14:textId="77777777" w:rsidR="008979E4" w:rsidRPr="008979E4" w:rsidRDefault="008979E4" w:rsidP="008979E4">
            <w:pPr>
              <w:rPr>
                <w:lang w:val="en-US"/>
              </w:rPr>
            </w:pPr>
            <w:r w:rsidRPr="008979E4">
              <w:rPr>
                <w:lang w:val="en-US"/>
              </w:rPr>
              <w:t>1.</w:t>
            </w:r>
            <w:r w:rsidRPr="008979E4">
              <w:rPr>
                <w:lang w:val="en-US"/>
              </w:rPr>
              <w:tab/>
              <w:t>Regarding paging occasion determination, legacy NB-IoT PO determination mechanism is used. When the determined paging subframe is not a valid downlink subframe, the Paging monitoring is postponed to the nearest valid downlink subframe.</w:t>
            </w:r>
          </w:p>
          <w:p w14:paraId="77A0BFA5" w14:textId="77777777" w:rsidR="008979E4" w:rsidRPr="008979E4" w:rsidRDefault="008979E4" w:rsidP="008979E4">
            <w:pPr>
              <w:rPr>
                <w:lang w:val="en-US"/>
              </w:rPr>
            </w:pPr>
            <w:r w:rsidRPr="008979E4">
              <w:rPr>
                <w:lang w:val="en-US"/>
              </w:rPr>
              <w:t>2.</w:t>
            </w:r>
            <w:r w:rsidRPr="008979E4">
              <w:rPr>
                <w:lang w:val="en-US"/>
              </w:rPr>
              <w:tab/>
              <w:t>In IoT-NTN TDD mode, existing cell barring mechanism using the IE cellBarred-r13 and cellBarred-NTN-r17 in SIB1 is sufficient to control access to the IoT-NTN TDD cell.</w:t>
            </w:r>
          </w:p>
          <w:p w14:paraId="6CE51161" w14:textId="77777777" w:rsidR="008979E4" w:rsidRPr="008979E4" w:rsidRDefault="008979E4" w:rsidP="008979E4">
            <w:pPr>
              <w:rPr>
                <w:lang w:val="en-US"/>
              </w:rPr>
            </w:pPr>
            <w:r w:rsidRPr="008979E4">
              <w:rPr>
                <w:lang w:val="en-US"/>
              </w:rPr>
              <w:t>3.</w:t>
            </w:r>
            <w:r w:rsidRPr="008979E4">
              <w:rPr>
                <w:lang w:val="en-US"/>
              </w:rPr>
              <w:tab/>
              <w:t xml:space="preserve">Existing value ranges of timers in unit of PDCCH periods are reused for IoT NTN TDD (FFS on the possible clarification to </w:t>
            </w:r>
            <w:proofErr w:type="gramStart"/>
            <w:r w:rsidRPr="008979E4">
              <w:rPr>
                <w:lang w:val="en-US"/>
              </w:rPr>
              <w:t>take into account</w:t>
            </w:r>
            <w:proofErr w:type="gramEnd"/>
            <w:r w:rsidRPr="008979E4">
              <w:rPr>
                <w:lang w:val="en-US"/>
              </w:rPr>
              <w:t xml:space="preserve"> the impact of invalid subframes</w:t>
            </w:r>
          </w:p>
          <w:p w14:paraId="2AD89A92" w14:textId="77777777" w:rsidR="008979E4" w:rsidRPr="008979E4" w:rsidRDefault="008979E4" w:rsidP="008979E4">
            <w:pPr>
              <w:rPr>
                <w:lang w:val="en-US"/>
              </w:rPr>
            </w:pPr>
            <w:r w:rsidRPr="008979E4">
              <w:rPr>
                <w:lang w:val="en-US"/>
              </w:rPr>
              <w:t>4.</w:t>
            </w:r>
            <w:r w:rsidRPr="008979E4">
              <w:rPr>
                <w:lang w:val="en-US"/>
              </w:rPr>
              <w:tab/>
              <w:t>When PUR resource start subframe does not align with the UL subframes in the H-SFN, UE postpones the PUR resource start subframe to the next valid UL subframe</w:t>
            </w:r>
          </w:p>
          <w:p w14:paraId="52AE8EE8" w14:textId="77777777" w:rsidR="008979E4" w:rsidRPr="008979E4" w:rsidRDefault="008979E4" w:rsidP="008979E4">
            <w:pPr>
              <w:rPr>
                <w:lang w:val="en-US"/>
              </w:rPr>
            </w:pPr>
            <w:r w:rsidRPr="008979E4">
              <w:rPr>
                <w:lang w:val="en-US"/>
              </w:rPr>
              <w:t>5.</w:t>
            </w:r>
            <w:r w:rsidRPr="008979E4">
              <w:rPr>
                <w:lang w:val="en-US"/>
              </w:rPr>
              <w:tab/>
              <w:t xml:space="preserve">When the UL SPS overlaps with non-U NB-IoT subframes UE postpones the UL SPS resource to the next valid UL subframe </w:t>
            </w:r>
          </w:p>
          <w:p w14:paraId="3EEDCCA3" w14:textId="0DAD3925" w:rsidR="007A6D02" w:rsidRPr="008979E4" w:rsidRDefault="008979E4" w:rsidP="008979E4">
            <w:r w:rsidRPr="008979E4">
              <w:rPr>
                <w:lang w:val="en-US"/>
              </w:rPr>
              <w:t>6.</w:t>
            </w:r>
            <w:r w:rsidRPr="008979E4">
              <w:rPr>
                <w:lang w:val="en-US"/>
              </w:rPr>
              <w:tab/>
              <w:t xml:space="preserve">For IoT NTN TDD mode, support k-Mac with a value range up to 1023 </w:t>
            </w:r>
            <w:proofErr w:type="spellStart"/>
            <w:r w:rsidRPr="008979E4">
              <w:rPr>
                <w:lang w:val="en-US"/>
              </w:rPr>
              <w:t>ms</w:t>
            </w:r>
            <w:proofErr w:type="spellEnd"/>
            <w:r w:rsidRPr="008979E4">
              <w:rPr>
                <w:lang w:val="en-US"/>
              </w:rPr>
              <w:t xml:space="preserve"> (add corresponding a restriction in the field description)</w:t>
            </w:r>
          </w:p>
        </w:tc>
      </w:tr>
    </w:tbl>
    <w:p w14:paraId="2E4C4C8D" w14:textId="47C73A6D" w:rsidR="007A6D02" w:rsidRPr="00E5030B" w:rsidRDefault="007A6D02" w:rsidP="007A6D02">
      <w:pPr>
        <w:spacing w:before="240"/>
        <w:jc w:val="both"/>
      </w:pPr>
      <w:r>
        <w:rPr>
          <w:lang w:eastAsia="zh-CN"/>
        </w:rPr>
        <w:lastRenderedPageBreak/>
        <w:t>In this paper</w:t>
      </w:r>
      <w:r>
        <w:rPr>
          <w:lang w:eastAsia="en-GB"/>
        </w:rPr>
        <w:t xml:space="preserve">, </w:t>
      </w:r>
      <w:r>
        <w:rPr>
          <w:lang w:eastAsia="zh-CN"/>
        </w:rPr>
        <w:t xml:space="preserve">we </w:t>
      </w:r>
      <w:r w:rsidR="00B45D67" w:rsidRPr="00B45D67">
        <w:rPr>
          <w:lang w:eastAsia="zh-CN"/>
        </w:rPr>
        <w:t xml:space="preserve">further </w:t>
      </w:r>
      <w:r>
        <w:rPr>
          <w:lang w:eastAsia="zh-CN"/>
        </w:rPr>
        <w:t>discuss t</w:t>
      </w:r>
      <w:r w:rsidRPr="00EF0C1E">
        <w:rPr>
          <w:lang w:eastAsia="zh-CN"/>
        </w:rPr>
        <w:t xml:space="preserve">he </w:t>
      </w:r>
      <w:r w:rsidR="00B45D67">
        <w:rPr>
          <w:lang w:eastAsia="zh-CN"/>
        </w:rPr>
        <w:t xml:space="preserve">RAN2 impacts of </w:t>
      </w:r>
      <w:r w:rsidRPr="00466D99">
        <w:t>TDD operation for NB-IoT NTN</w:t>
      </w:r>
      <w:r>
        <w:t>.</w:t>
      </w:r>
    </w:p>
    <w:p w14:paraId="40217EEF" w14:textId="77777777" w:rsidR="007A6D02" w:rsidRPr="0060399A" w:rsidRDefault="007A6D02" w:rsidP="007A6D02">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lang w:eastAsia="en-GB"/>
        </w:rPr>
      </w:pPr>
      <w:r w:rsidRPr="00C02CCE">
        <w:rPr>
          <w:rFonts w:ascii="Arial" w:eastAsia="Times New Roman" w:hAnsi="Arial"/>
          <w:lang w:eastAsia="en-GB"/>
        </w:rPr>
        <w:t xml:space="preserve">Discussion </w:t>
      </w:r>
    </w:p>
    <w:p w14:paraId="1389549D" w14:textId="77777777" w:rsidR="007A6D02" w:rsidRDefault="007A6D02" w:rsidP="007A6D02">
      <w:pPr>
        <w:pStyle w:val="2"/>
        <w:keepLines w:val="0"/>
        <w:numPr>
          <w:ilvl w:val="1"/>
          <w:numId w:val="27"/>
        </w:numPr>
        <w:autoSpaceDE w:val="0"/>
        <w:autoSpaceDN w:val="0"/>
        <w:adjustRightInd w:val="0"/>
        <w:snapToGrid w:val="0"/>
        <w:spacing w:before="120"/>
        <w:jc w:val="both"/>
        <w:rPr>
          <w:rFonts w:ascii="Arial" w:eastAsia="Times New Roman" w:hAnsi="Arial" w:cs="Times New Roman"/>
          <w:bCs/>
          <w:lang w:val="en-US" w:eastAsia="en-GB"/>
        </w:rPr>
      </w:pPr>
      <w:bookmarkStart w:id="8" w:name="_Hlk188775262"/>
      <w:r w:rsidRPr="0065539B">
        <w:rPr>
          <w:rFonts w:ascii="Arial" w:eastAsia="Times New Roman" w:hAnsi="Arial" w:cs="Times New Roman"/>
          <w:bCs/>
          <w:lang w:val="en-US" w:eastAsia="en-GB"/>
        </w:rPr>
        <w:t xml:space="preserve">Impacts on </w:t>
      </w:r>
      <w:r>
        <w:rPr>
          <w:rFonts w:ascii="Arial" w:eastAsia="Times New Roman" w:hAnsi="Arial" w:cs="Times New Roman"/>
          <w:bCs/>
          <w:lang w:val="en-US" w:eastAsia="en-GB"/>
        </w:rPr>
        <w:t>SI</w:t>
      </w:r>
    </w:p>
    <w:p w14:paraId="167FB3CD" w14:textId="77777777" w:rsidR="007A6D02" w:rsidRDefault="007A6D02" w:rsidP="007A6D02">
      <w:pPr>
        <w:spacing w:beforeLines="50" w:before="120"/>
        <w:rPr>
          <w:rFonts w:cs="Times New Roman"/>
        </w:rPr>
      </w:pPr>
      <w:r>
        <w:rPr>
          <w:rFonts w:cs="Times New Roman" w:hint="eastAsia"/>
        </w:rPr>
        <w:t>I</w:t>
      </w:r>
      <w:r>
        <w:rPr>
          <w:rFonts w:cs="Times New Roman"/>
        </w:rPr>
        <w:t>n RAN1#120, the impacts on the system information other than SIB1-NB were left to RAN2 according to the following conclusion:</w:t>
      </w:r>
    </w:p>
    <w:tbl>
      <w:tblPr>
        <w:tblStyle w:val="af5"/>
        <w:tblW w:w="0" w:type="auto"/>
        <w:tblLook w:val="04A0" w:firstRow="1" w:lastRow="0" w:firstColumn="1" w:lastColumn="0" w:noHBand="0" w:noVBand="1"/>
      </w:tblPr>
      <w:tblGrid>
        <w:gridCol w:w="9306"/>
      </w:tblGrid>
      <w:tr w:rsidR="007A6D02" w14:paraId="65DA7F29" w14:textId="77777777" w:rsidTr="009729DB">
        <w:tc>
          <w:tcPr>
            <w:tcW w:w="9306" w:type="dxa"/>
          </w:tcPr>
          <w:p w14:paraId="3C216BC1" w14:textId="77777777" w:rsidR="007A6D02" w:rsidRPr="00EC1490" w:rsidRDefault="007A6D02" w:rsidP="009729DB">
            <w:pPr>
              <w:overflowPunct w:val="0"/>
              <w:ind w:right="200"/>
              <w:contextualSpacing/>
              <w:textAlignment w:val="baseline"/>
              <w:rPr>
                <w:rFonts w:ascii="Times" w:eastAsia="Malgun Gothic" w:hAnsi="Times"/>
                <w:b/>
                <w:bCs/>
                <w:szCs w:val="24"/>
              </w:rPr>
            </w:pPr>
            <w:r w:rsidRPr="00EC1490">
              <w:rPr>
                <w:rFonts w:ascii="Times" w:eastAsia="Malgun Gothic" w:hAnsi="Times"/>
                <w:b/>
                <w:bCs/>
                <w:szCs w:val="24"/>
              </w:rPr>
              <w:t>Conclusion</w:t>
            </w:r>
          </w:p>
          <w:p w14:paraId="692FB25D" w14:textId="77777777" w:rsidR="007A6D02" w:rsidRDefault="007A6D02" w:rsidP="009729DB">
            <w:pPr>
              <w:ind w:right="200"/>
              <w:rPr>
                <w:rFonts w:cs="Times New Roman"/>
              </w:rPr>
            </w:pPr>
            <w:r w:rsidRPr="00EC1490">
              <w:rPr>
                <w:rFonts w:ascii="Times" w:eastAsia="Batang" w:hAnsi="Times"/>
                <w:szCs w:val="24"/>
              </w:rPr>
              <w:t>It is RAN1’s understanding that the issue of scheduling and transmitting SI messages in the presence of non-D subframes will be solved mainly (or completely) by RAN2 specifications. RAN1 may discuss potential impact on RAN1 specifications, if any.</w:t>
            </w:r>
          </w:p>
        </w:tc>
      </w:tr>
    </w:tbl>
    <w:p w14:paraId="0A4D3EE2" w14:textId="77777777" w:rsidR="007A6D02" w:rsidRDefault="007A6D02" w:rsidP="007A6D02">
      <w:pPr>
        <w:spacing w:beforeLines="50" w:before="120" w:after="50"/>
        <w:rPr>
          <w:rFonts w:ascii="Times" w:eastAsia="Batang" w:hAnsi="Times"/>
          <w:szCs w:val="24"/>
        </w:rPr>
      </w:pPr>
      <w:r w:rsidRPr="00AA52E7">
        <w:rPr>
          <w:rFonts w:eastAsiaTheme="minorEastAsia" w:cs="Times New Roman" w:hint="eastAsia"/>
          <w:lang w:eastAsia="zh-CN"/>
        </w:rPr>
        <w:t>I</w:t>
      </w:r>
      <w:r w:rsidRPr="00AA52E7">
        <w:rPr>
          <w:rFonts w:eastAsiaTheme="minorEastAsia" w:cs="Times New Roman"/>
          <w:lang w:eastAsia="zh-CN"/>
        </w:rPr>
        <w:t xml:space="preserve">n our understanding, </w:t>
      </w:r>
      <w:r w:rsidRPr="00EC1490">
        <w:rPr>
          <w:rFonts w:ascii="Times" w:eastAsia="Batang" w:hAnsi="Times"/>
          <w:szCs w:val="24"/>
        </w:rPr>
        <w:t>SI messages</w:t>
      </w:r>
      <w:r>
        <w:rPr>
          <w:rFonts w:ascii="Times" w:eastAsia="Batang" w:hAnsi="Times"/>
          <w:szCs w:val="24"/>
        </w:rPr>
        <w:t xml:space="preserve"> </w:t>
      </w:r>
      <w:r w:rsidRPr="009B3539">
        <w:rPr>
          <w:rFonts w:ascii="Times" w:eastAsia="Batang" w:hAnsi="Times"/>
          <w:szCs w:val="24"/>
        </w:rPr>
        <w:t>(other than SIB1-NB</w:t>
      </w:r>
      <w:r>
        <w:rPr>
          <w:rFonts w:ascii="Times" w:eastAsia="Batang" w:hAnsi="Times"/>
          <w:szCs w:val="24"/>
        </w:rPr>
        <w:t xml:space="preserve"> which is separately discussed in RAN1</w:t>
      </w:r>
      <w:r w:rsidRPr="009B3539">
        <w:rPr>
          <w:rFonts w:ascii="Times" w:eastAsia="Batang" w:hAnsi="Times"/>
          <w:szCs w:val="24"/>
        </w:rPr>
        <w:t>)</w:t>
      </w:r>
      <w:r>
        <w:rPr>
          <w:rFonts w:ascii="Times" w:eastAsia="Batang" w:hAnsi="Times"/>
          <w:szCs w:val="24"/>
        </w:rPr>
        <w:t xml:space="preserve"> can only be transmitted </w:t>
      </w:r>
      <w:r w:rsidRPr="00C51314">
        <w:rPr>
          <w:rFonts w:ascii="Times" w:eastAsia="Batang" w:hAnsi="Times"/>
          <w:szCs w:val="24"/>
        </w:rPr>
        <w:t>on NB-IoT DL subframe</w:t>
      </w:r>
      <w:r>
        <w:rPr>
          <w:rFonts w:ascii="Times" w:eastAsia="Batang" w:hAnsi="Times"/>
          <w:szCs w:val="24"/>
        </w:rPr>
        <w:t>s, so that no SI messages need to be dropped due to the mapping on the non-DL subframes. This is beneficial for the system performance.</w:t>
      </w:r>
    </w:p>
    <w:p w14:paraId="507228A9" w14:textId="127BC1CB" w:rsidR="007A6D02" w:rsidRDefault="007A6D02" w:rsidP="007A6D02">
      <w:pPr>
        <w:spacing w:beforeLines="50" w:before="120"/>
        <w:rPr>
          <w:rFonts w:ascii="Arial" w:eastAsia="Times New Roman" w:hAnsi="Arial" w:cs="Times New Roman"/>
          <w:bCs/>
          <w:sz w:val="28"/>
          <w:szCs w:val="28"/>
          <w:lang w:val="en-US" w:eastAsia="en-GB"/>
        </w:rPr>
      </w:pPr>
      <w:r w:rsidRPr="00B77CD3">
        <w:rPr>
          <w:rFonts w:eastAsiaTheme="minorEastAsia" w:cs="Times New Roman"/>
          <w:b/>
          <w:lang w:val="en-US" w:eastAsia="zh-CN"/>
        </w:rPr>
        <w:t xml:space="preserve">Proposal </w:t>
      </w:r>
      <w:r w:rsidR="00DF7F00">
        <w:rPr>
          <w:rFonts w:eastAsiaTheme="minorEastAsia" w:cs="Times New Roman"/>
          <w:b/>
          <w:lang w:val="en-US" w:eastAsia="zh-CN"/>
        </w:rPr>
        <w:t>1</w:t>
      </w:r>
      <w:r w:rsidRPr="00B77CD3">
        <w:rPr>
          <w:rFonts w:eastAsiaTheme="minorEastAsia" w:cs="Times New Roman"/>
          <w:b/>
          <w:lang w:val="en-US" w:eastAsia="zh-CN"/>
        </w:rPr>
        <w:t xml:space="preserve">: </w:t>
      </w:r>
      <w:r w:rsidRPr="009B3539">
        <w:rPr>
          <w:rFonts w:eastAsiaTheme="minorEastAsia" w:cs="Times New Roman"/>
          <w:b/>
          <w:lang w:val="en-US" w:eastAsia="zh-CN"/>
        </w:rPr>
        <w:t xml:space="preserve">NPDSCH for SI </w:t>
      </w:r>
      <w:r>
        <w:rPr>
          <w:rFonts w:eastAsiaTheme="minorEastAsia" w:cs="Times New Roman"/>
          <w:b/>
          <w:lang w:val="en-US" w:eastAsia="zh-CN"/>
        </w:rPr>
        <w:t xml:space="preserve">messages </w:t>
      </w:r>
      <w:r w:rsidRPr="009B3539">
        <w:rPr>
          <w:rFonts w:eastAsiaTheme="minorEastAsia" w:cs="Times New Roman"/>
          <w:b/>
          <w:lang w:val="en-US" w:eastAsia="zh-CN"/>
        </w:rPr>
        <w:t>other than SIB1-NB</w:t>
      </w:r>
      <w:r>
        <w:rPr>
          <w:rFonts w:eastAsiaTheme="minorEastAsia" w:cs="Times New Roman"/>
          <w:b/>
          <w:lang w:val="en-US" w:eastAsia="zh-CN"/>
        </w:rPr>
        <w:t xml:space="preserve"> </w:t>
      </w:r>
      <w:r w:rsidRPr="009B3539">
        <w:rPr>
          <w:rFonts w:eastAsiaTheme="minorEastAsia" w:cs="Times New Roman"/>
          <w:b/>
          <w:lang w:val="en-US" w:eastAsia="zh-CN"/>
        </w:rPr>
        <w:t>should be mapped on NB-IoT DL subframes</w:t>
      </w:r>
      <w:r w:rsidRPr="00B77CD3">
        <w:rPr>
          <w:rFonts w:eastAsiaTheme="minorEastAsia" w:cs="Times New Roman"/>
          <w:b/>
          <w:lang w:val="en-US" w:eastAsia="zh-CN"/>
        </w:rPr>
        <w:t>.</w:t>
      </w:r>
    </w:p>
    <w:p w14:paraId="468EBCF3" w14:textId="77777777" w:rsidR="007A6D02" w:rsidRPr="007D5A74" w:rsidRDefault="007A6D02" w:rsidP="007A6D02">
      <w:pPr>
        <w:spacing w:beforeLines="50" w:before="120" w:afterLines="50"/>
        <w:rPr>
          <w:rFonts w:cs="Times New Roman"/>
        </w:rPr>
      </w:pPr>
      <w:r w:rsidRPr="007D5A74">
        <w:rPr>
          <w:rFonts w:cs="Times New Roman"/>
        </w:rPr>
        <w:t xml:space="preserve">In legacy NB-IoT system, the SI-window of </w:t>
      </w:r>
      <w:r w:rsidRPr="007D5A74">
        <w:rPr>
          <w:rFonts w:cs="Times New Roman"/>
          <w:i/>
          <w:iCs/>
        </w:rPr>
        <w:t>n</w:t>
      </w:r>
      <w:r w:rsidRPr="007D5A74">
        <w:rPr>
          <w:rFonts w:cs="Times New Roman"/>
        </w:rPr>
        <w:t xml:space="preserve"> </w:t>
      </w:r>
      <w:proofErr w:type="spellStart"/>
      <w:r w:rsidRPr="007D5A74">
        <w:rPr>
          <w:rFonts w:cs="Times New Roman"/>
        </w:rPr>
        <w:t>th</w:t>
      </w:r>
      <w:proofErr w:type="spellEnd"/>
      <w:r w:rsidRPr="007D5A74">
        <w:rPr>
          <w:rFonts w:cs="Times New Roman"/>
        </w:rPr>
        <w:t xml:space="preserve"> SI message configured in the </w:t>
      </w:r>
      <w:r w:rsidRPr="007D5A74">
        <w:rPr>
          <w:rFonts w:cs="Times New Roman"/>
          <w:i/>
          <w:iCs/>
        </w:rPr>
        <w:t>SchedulingInfoList-NB-r13</w:t>
      </w:r>
      <w:r w:rsidRPr="007D5A74">
        <w:rPr>
          <w:rFonts w:cs="Times New Roman"/>
        </w:rPr>
        <w:t xml:space="preserve"> of SIB1-NB starts at the subframe#0 in the radio frame satisfies the following equation.  </w:t>
      </w:r>
    </w:p>
    <w:p w14:paraId="6CF3A325" w14:textId="77777777" w:rsidR="007A6D02" w:rsidRPr="007D5A74" w:rsidRDefault="007A6D02" w:rsidP="007A6D02">
      <w:pPr>
        <w:spacing w:afterLines="50"/>
        <w:jc w:val="center"/>
        <w:rPr>
          <w:rFonts w:cs="Times New Roman"/>
        </w:rPr>
      </w:pPr>
      <w:r w:rsidRPr="007D5A74">
        <w:rPr>
          <w:rFonts w:cs="Times New Roman"/>
        </w:rPr>
        <w:t xml:space="preserve">(H-SFN * 1024 + SFN) mod </w:t>
      </w:r>
      <w:r w:rsidRPr="007D5A74">
        <w:rPr>
          <w:rFonts w:cs="Times New Roman"/>
          <w:i/>
          <w:iCs/>
        </w:rPr>
        <w:t xml:space="preserve">T </w:t>
      </w:r>
      <w:r w:rsidRPr="007D5A74">
        <w:rPr>
          <w:rFonts w:cs="Times New Roman"/>
        </w:rPr>
        <w:t>= FLOOR(</w:t>
      </w:r>
      <w:r w:rsidRPr="007D5A74">
        <w:rPr>
          <w:rFonts w:cs="Times New Roman"/>
          <w:i/>
          <w:iCs/>
        </w:rPr>
        <w:t>x</w:t>
      </w:r>
      <w:r w:rsidRPr="007D5A74">
        <w:rPr>
          <w:rFonts w:cs="Times New Roman"/>
        </w:rPr>
        <w:t>/10) + Offset</w:t>
      </w:r>
    </w:p>
    <w:p w14:paraId="59C6BFB8" w14:textId="77777777" w:rsidR="007A6D02" w:rsidRPr="007D5A74" w:rsidRDefault="007A6D02" w:rsidP="007A6D02">
      <w:pPr>
        <w:spacing w:afterLines="50"/>
        <w:jc w:val="both"/>
        <w:rPr>
          <w:rFonts w:cs="Times New Roman"/>
        </w:rPr>
      </w:pPr>
      <w:r w:rsidRPr="007D5A74">
        <w:rPr>
          <w:rFonts w:cs="Times New Roman"/>
          <w:i/>
          <w:iCs/>
        </w:rPr>
        <w:t>T</w:t>
      </w:r>
      <w:r w:rsidRPr="007D5A74">
        <w:rPr>
          <w:rFonts w:cs="Times New Roman"/>
        </w:rPr>
        <w:t xml:space="preserve"> is the periodicity corresponding to the SI message configured by </w:t>
      </w:r>
      <w:r w:rsidRPr="007D5A74">
        <w:rPr>
          <w:rFonts w:cs="Times New Roman"/>
          <w:i/>
          <w:iCs/>
        </w:rPr>
        <w:t>si-Periodicity-r13</w:t>
      </w:r>
      <w:r w:rsidRPr="007D5A74">
        <w:rPr>
          <w:rFonts w:cs="Times New Roman"/>
        </w:rPr>
        <w:t xml:space="preserve"> with the value range of {64, 128, 256, 512, 1024, 2048, 4096} radio frames. </w:t>
      </w:r>
      <m:oMath>
        <m:r>
          <w:rPr>
            <w:rFonts w:ascii="Cambria Math" w:hAnsi="Cambria Math" w:cs="Times New Roman"/>
          </w:rPr>
          <m:t>x=</m:t>
        </m:r>
        <m:d>
          <m:dPr>
            <m:ctrlPr>
              <w:rPr>
                <w:rFonts w:ascii="Cambria Math" w:hAnsi="Cambria Math" w:cs="Times New Roman"/>
                <w:i/>
              </w:rPr>
            </m:ctrlPr>
          </m:dPr>
          <m:e>
            <m:r>
              <w:rPr>
                <w:rFonts w:ascii="Cambria Math" w:hAnsi="Cambria Math" w:cs="Times New Roman"/>
              </w:rPr>
              <m:t>n-1</m:t>
            </m:r>
          </m:e>
        </m:d>
        <m:r>
          <w:rPr>
            <w:rFonts w:ascii="Cambria Math" w:hAnsi="Cambria Math" w:cs="Times New Roman"/>
          </w:rPr>
          <m:t>∙w</m:t>
        </m:r>
      </m:oMath>
      <w:r w:rsidRPr="007D5A74">
        <w:rPr>
          <w:rFonts w:cs="Times New Roman"/>
        </w:rPr>
        <w:t xml:space="preserve"> is related to the order of SI-message </w:t>
      </w:r>
      <w:r w:rsidRPr="007D5A74">
        <w:rPr>
          <w:rFonts w:cs="Times New Roman"/>
          <w:i/>
          <w:iCs/>
        </w:rPr>
        <w:t>n</w:t>
      </w:r>
      <w:r w:rsidRPr="007D5A74">
        <w:rPr>
          <w:rFonts w:cs="Times New Roman"/>
        </w:rPr>
        <w:t xml:space="preserve"> and the SI-window length </w:t>
      </w:r>
      <w:r w:rsidRPr="007D5A74">
        <w:rPr>
          <w:rFonts w:cs="Times New Roman"/>
          <w:i/>
          <w:iCs/>
        </w:rPr>
        <w:t>w</w:t>
      </w:r>
      <w:r w:rsidRPr="007D5A74">
        <w:rPr>
          <w:rFonts w:cs="Times New Roman"/>
        </w:rPr>
        <w:t xml:space="preserve"> configured by </w:t>
      </w:r>
      <w:r w:rsidRPr="007D5A74">
        <w:rPr>
          <w:rFonts w:cs="Times New Roman"/>
          <w:i/>
          <w:iCs/>
        </w:rPr>
        <w:t xml:space="preserve">si-WindowLength-r13 </w:t>
      </w:r>
      <w:r w:rsidRPr="007D5A74">
        <w:rPr>
          <w:rFonts w:cs="Times New Roman"/>
        </w:rPr>
        <w:t>with the value range of {160, 320, 480, 640, 960, 1280, 1600}</w:t>
      </w:r>
      <w:proofErr w:type="spellStart"/>
      <w:r w:rsidRPr="007D5A74">
        <w:rPr>
          <w:rFonts w:cs="Times New Roman"/>
        </w:rPr>
        <w:t>ms</w:t>
      </w:r>
      <w:proofErr w:type="spellEnd"/>
      <w:r w:rsidRPr="007D5A74">
        <w:rPr>
          <w:rFonts w:cs="Times New Roman"/>
        </w:rPr>
        <w:t xml:space="preserve">. In the SI window, the TB of a SI-message is mapped to 2 or 8 consecutive valid NB-IoT DL subframes (provided by </w:t>
      </w:r>
      <w:r w:rsidRPr="007D5A74">
        <w:rPr>
          <w:rFonts w:cs="Times New Roman"/>
          <w:i/>
          <w:iCs/>
        </w:rPr>
        <w:t>downlinkBitmap-r13</w:t>
      </w:r>
      <w:r w:rsidRPr="007D5A74">
        <w:rPr>
          <w:rFonts w:cs="Times New Roman"/>
        </w:rPr>
        <w:t>) in the 1</w:t>
      </w:r>
      <w:r w:rsidRPr="007D5A74">
        <w:rPr>
          <w:rFonts w:cs="Times New Roman"/>
          <w:vertAlign w:val="superscript"/>
        </w:rPr>
        <w:t>st</w:t>
      </w:r>
      <w:r w:rsidRPr="007D5A74">
        <w:rPr>
          <w:rFonts w:cs="Times New Roman"/>
        </w:rPr>
        <w:t xml:space="preserve"> radio frame of every {2, 4, 8, 16} radio frames (provided by </w:t>
      </w:r>
      <w:proofErr w:type="spellStart"/>
      <w:r w:rsidRPr="007D5A74">
        <w:rPr>
          <w:rFonts w:cs="Times New Roman"/>
          <w:i/>
          <w:iCs/>
        </w:rPr>
        <w:t>si-RepetitionPattern</w:t>
      </w:r>
      <w:proofErr w:type="spellEnd"/>
      <w:r w:rsidRPr="007D5A74">
        <w:rPr>
          <w:rFonts w:cs="Times New Roman"/>
        </w:rPr>
        <w:t xml:space="preserve">) from the start of SI window. If the number of valid NB-IoT DL subframe is not enough, the TB can be extended the following radio frames not exceeding the SI-window length. </w:t>
      </w:r>
    </w:p>
    <w:p w14:paraId="38B5EAA8" w14:textId="77777777" w:rsidR="007A6D02" w:rsidRPr="007D5A74" w:rsidRDefault="007A6D02" w:rsidP="007A6D02">
      <w:pPr>
        <w:spacing w:afterLines="50"/>
        <w:jc w:val="both"/>
        <w:rPr>
          <w:rFonts w:cs="Times New Roman"/>
        </w:rPr>
      </w:pPr>
      <w:r w:rsidRPr="007D5A74">
        <w:rPr>
          <w:rFonts w:cs="Times New Roman"/>
        </w:rPr>
        <w:t xml:space="preserve">It is observed that the starting radio frame of each repetition are derived based on physical radio frame index. </w:t>
      </w:r>
      <w:r>
        <w:rPr>
          <w:rFonts w:cs="Times New Roman"/>
        </w:rPr>
        <w:t>W</w:t>
      </w:r>
      <w:r w:rsidRPr="007D5A74">
        <w:rPr>
          <w:rFonts w:cs="Times New Roman"/>
        </w:rPr>
        <w:t xml:space="preserve">hen the </w:t>
      </w:r>
      <w:proofErr w:type="spellStart"/>
      <w:r w:rsidRPr="007D5A74">
        <w:rPr>
          <w:rFonts w:cs="Times New Roman"/>
          <w:i/>
          <w:iCs/>
        </w:rPr>
        <w:t>si-RepetitionPattern</w:t>
      </w:r>
      <w:proofErr w:type="spellEnd"/>
      <w:r w:rsidRPr="007D5A74">
        <w:rPr>
          <w:rFonts w:cs="Times New Roman"/>
        </w:rPr>
        <w:t xml:space="preserve"> is configured with values other than “</w:t>
      </w:r>
      <w:r w:rsidRPr="007D5A74">
        <w:rPr>
          <w:rFonts w:cs="Times New Roman"/>
          <w:i/>
          <w:iCs/>
        </w:rPr>
        <w:t>every16thRF</w:t>
      </w:r>
      <w:r w:rsidRPr="007D5A74">
        <w:rPr>
          <w:rFonts w:cs="Times New Roman"/>
        </w:rPr>
        <w:t xml:space="preserve">”, the valid NB-IoT DL subframes of consecutive NPDSCH repetitions in a SI window may overlap due to small portion of valid NB-IoT DL subframes per 90ms. In such case, UE should skip the </w:t>
      </w:r>
      <w:r>
        <w:rPr>
          <w:rFonts w:cs="Times New Roman"/>
        </w:rPr>
        <w:t>subsequent</w:t>
      </w:r>
      <w:r w:rsidRPr="007D5A74">
        <w:rPr>
          <w:rFonts w:cs="Times New Roman"/>
        </w:rPr>
        <w:t xml:space="preserve"> reception of </w:t>
      </w:r>
      <w:r>
        <w:rPr>
          <w:rFonts w:cs="Times New Roman"/>
        </w:rPr>
        <w:t xml:space="preserve">SI </w:t>
      </w:r>
      <w:r w:rsidRPr="007D5A74">
        <w:rPr>
          <w:rFonts w:cs="Times New Roman"/>
        </w:rPr>
        <w:t>NPDSCH repetitions.</w:t>
      </w:r>
    </w:p>
    <w:p w14:paraId="35F80FB1" w14:textId="30C646DD" w:rsidR="007A6D02" w:rsidRPr="00B77CD3" w:rsidRDefault="007A6D02" w:rsidP="007A6D02">
      <w:pPr>
        <w:spacing w:beforeLines="50" w:before="120"/>
        <w:rPr>
          <w:rFonts w:eastAsiaTheme="minorEastAsia" w:cs="Times New Roman"/>
          <w:b/>
          <w:lang w:val="en-US" w:eastAsia="zh-CN"/>
        </w:rPr>
      </w:pPr>
      <w:r w:rsidRPr="00B77CD3">
        <w:rPr>
          <w:rFonts w:eastAsiaTheme="minorEastAsia" w:cs="Times New Roman"/>
          <w:b/>
          <w:lang w:val="en-US" w:eastAsia="zh-CN"/>
        </w:rPr>
        <w:t xml:space="preserve">Proposal </w:t>
      </w:r>
      <w:r w:rsidR="00DF7F00">
        <w:rPr>
          <w:rFonts w:eastAsiaTheme="minorEastAsia" w:cs="Times New Roman"/>
          <w:b/>
          <w:lang w:val="en-US" w:eastAsia="zh-CN"/>
        </w:rPr>
        <w:t>2</w:t>
      </w:r>
      <w:r w:rsidRPr="00B77CD3">
        <w:rPr>
          <w:rFonts w:eastAsiaTheme="minorEastAsia" w:cs="Times New Roman"/>
          <w:b/>
          <w:lang w:val="en-US" w:eastAsia="zh-CN"/>
        </w:rPr>
        <w:t xml:space="preserve">: For the </w:t>
      </w:r>
      <w:r>
        <w:rPr>
          <w:rFonts w:eastAsiaTheme="minorEastAsia" w:cs="Times New Roman"/>
          <w:b/>
          <w:lang w:val="en-US" w:eastAsia="zh-CN"/>
        </w:rPr>
        <w:t xml:space="preserve">SI </w:t>
      </w:r>
      <w:r w:rsidRPr="00B77CD3">
        <w:rPr>
          <w:rFonts w:eastAsiaTheme="minorEastAsia" w:cs="Times New Roman"/>
          <w:b/>
          <w:lang w:val="en-US" w:eastAsia="zh-CN"/>
        </w:rPr>
        <w:t xml:space="preserve">reception </w:t>
      </w:r>
      <w:r>
        <w:rPr>
          <w:rFonts w:eastAsiaTheme="minorEastAsia" w:cs="Times New Roman"/>
          <w:b/>
          <w:lang w:val="en-US" w:eastAsia="zh-CN"/>
        </w:rPr>
        <w:t>with</w:t>
      </w:r>
      <w:r w:rsidRPr="00B77CD3">
        <w:rPr>
          <w:rFonts w:eastAsiaTheme="minorEastAsia" w:cs="Times New Roman"/>
          <w:b/>
          <w:lang w:val="en-US" w:eastAsia="zh-CN"/>
        </w:rPr>
        <w:t>in a</w:t>
      </w:r>
      <w:r>
        <w:rPr>
          <w:rFonts w:eastAsiaTheme="minorEastAsia" w:cs="Times New Roman"/>
          <w:b/>
          <w:lang w:val="en-US" w:eastAsia="zh-CN"/>
        </w:rPr>
        <w:t>n</w:t>
      </w:r>
      <w:r w:rsidRPr="00B77CD3">
        <w:rPr>
          <w:rFonts w:eastAsiaTheme="minorEastAsia" w:cs="Times New Roman"/>
          <w:b/>
          <w:lang w:val="en-US" w:eastAsia="zh-CN"/>
        </w:rPr>
        <w:t xml:space="preserve"> SI-window, UE should </w:t>
      </w:r>
      <w:r>
        <w:rPr>
          <w:rFonts w:eastAsiaTheme="minorEastAsia" w:cs="Times New Roman"/>
          <w:b/>
          <w:lang w:val="en-US" w:eastAsia="zh-CN"/>
        </w:rPr>
        <w:t>prioritize the previous SI reception in case there is collision between the previous SI repetitions and the subsequent SI reception</w:t>
      </w:r>
      <w:r w:rsidRPr="00B77CD3">
        <w:rPr>
          <w:rFonts w:eastAsiaTheme="minorEastAsia" w:cs="Times New Roman"/>
          <w:b/>
          <w:lang w:val="en-US" w:eastAsia="zh-CN"/>
        </w:rPr>
        <w:t xml:space="preserve">.  </w:t>
      </w:r>
    </w:p>
    <w:p w14:paraId="087EB8EB" w14:textId="77777777" w:rsidR="007A6D02" w:rsidRDefault="007A6D02" w:rsidP="007A6D02">
      <w:pPr>
        <w:rPr>
          <w:rFonts w:ascii="Arial" w:eastAsia="Times New Roman" w:hAnsi="Arial" w:cs="Times New Roman"/>
          <w:bCs/>
          <w:sz w:val="28"/>
          <w:szCs w:val="28"/>
          <w:lang w:val="en-US" w:eastAsia="en-GB"/>
        </w:rPr>
      </w:pPr>
    </w:p>
    <w:p w14:paraId="0088CB05" w14:textId="5DCE16B3" w:rsidR="007A6D02" w:rsidRDefault="007A6D02" w:rsidP="007A6D02">
      <w:pPr>
        <w:pStyle w:val="2"/>
        <w:keepLines w:val="0"/>
        <w:numPr>
          <w:ilvl w:val="1"/>
          <w:numId w:val="27"/>
        </w:numPr>
        <w:autoSpaceDE w:val="0"/>
        <w:autoSpaceDN w:val="0"/>
        <w:adjustRightInd w:val="0"/>
        <w:snapToGrid w:val="0"/>
        <w:spacing w:before="120"/>
        <w:jc w:val="both"/>
        <w:rPr>
          <w:rFonts w:ascii="Arial" w:eastAsia="Times New Roman" w:hAnsi="Arial" w:cs="Times New Roman"/>
          <w:bCs/>
          <w:lang w:val="en-US" w:eastAsia="en-GB"/>
        </w:rPr>
      </w:pPr>
      <w:r w:rsidRPr="00D8495A">
        <w:rPr>
          <w:rFonts w:ascii="Arial" w:eastAsia="Times New Roman" w:hAnsi="Arial" w:cs="Times New Roman"/>
          <w:bCs/>
          <w:lang w:val="en-US" w:eastAsia="en-GB"/>
        </w:rPr>
        <w:t xml:space="preserve">Impact on </w:t>
      </w:r>
      <w:r w:rsidR="00B91433" w:rsidRPr="00B91433">
        <w:rPr>
          <w:rFonts w:ascii="Arial" w:eastAsia="Times New Roman" w:hAnsi="Arial" w:cs="Times New Roman"/>
          <w:bCs/>
          <w:lang w:val="en-US" w:eastAsia="en-GB"/>
        </w:rPr>
        <w:t>Measurement</w:t>
      </w:r>
    </w:p>
    <w:p w14:paraId="7FA9D561" w14:textId="6DD78B0A" w:rsidR="001C3710" w:rsidRPr="001C3710" w:rsidRDefault="009C4F97" w:rsidP="00C6489A">
      <w:pPr>
        <w:spacing w:afterLines="50"/>
        <w:jc w:val="both"/>
        <w:rPr>
          <w:rFonts w:eastAsiaTheme="minorEastAsia"/>
          <w:lang w:val="en-US" w:eastAsia="zh-CN"/>
        </w:rPr>
      </w:pPr>
      <w:r w:rsidRPr="00BA50CD">
        <w:rPr>
          <w:rFonts w:cs="Times New Roman"/>
        </w:rPr>
        <w:t xml:space="preserve">For </w:t>
      </w:r>
      <w:r w:rsidR="00B45D67">
        <w:rPr>
          <w:rFonts w:cs="Times New Roman"/>
        </w:rPr>
        <w:t xml:space="preserve">a </w:t>
      </w:r>
      <w:r w:rsidRPr="00BA50CD">
        <w:rPr>
          <w:rFonts w:cs="Times New Roman"/>
        </w:rPr>
        <w:t xml:space="preserve">UE in </w:t>
      </w:r>
      <w:r w:rsidR="00366F0A" w:rsidRPr="00BA50CD">
        <w:rPr>
          <w:rFonts w:cs="Times New Roman"/>
        </w:rPr>
        <w:t xml:space="preserve">NB-IoT NTN TDD </w:t>
      </w:r>
      <w:r w:rsidRPr="00BA50CD">
        <w:rPr>
          <w:rFonts w:cs="Times New Roman"/>
        </w:rPr>
        <w:t xml:space="preserve">cell, </w:t>
      </w:r>
      <w:r w:rsidR="005B54CB">
        <w:rPr>
          <w:rFonts w:cs="Times New Roman"/>
        </w:rPr>
        <w:t>it</w:t>
      </w:r>
      <w:r w:rsidRPr="00BA50CD">
        <w:rPr>
          <w:rFonts w:cs="Times New Roman"/>
        </w:rPr>
        <w:t xml:space="preserve"> </w:t>
      </w:r>
      <w:r w:rsidR="005B54CB" w:rsidRPr="00BA50CD">
        <w:rPr>
          <w:rFonts w:cs="Times New Roman"/>
        </w:rPr>
        <w:t xml:space="preserve">cannot perform any service </w:t>
      </w:r>
      <w:bookmarkStart w:id="9" w:name="OLE_LINK153"/>
      <w:bookmarkStart w:id="10" w:name="OLE_LINK154"/>
      <w:r w:rsidR="006F0D95">
        <w:rPr>
          <w:rFonts w:cs="Times New Roman"/>
        </w:rPr>
        <w:t>outside</w:t>
      </w:r>
      <w:r w:rsidR="005B54CB" w:rsidRPr="00BA50CD">
        <w:rPr>
          <w:rFonts w:cs="Times New Roman"/>
        </w:rPr>
        <w:t xml:space="preserve"> the </w:t>
      </w:r>
      <w:r w:rsidR="00D04089" w:rsidRPr="00D04089">
        <w:rPr>
          <w:rFonts w:cs="Times New Roman"/>
        </w:rPr>
        <w:t>available UL and DL subframes</w:t>
      </w:r>
      <w:bookmarkEnd w:id="9"/>
      <w:bookmarkEnd w:id="10"/>
      <w:r w:rsidR="003222E0">
        <w:t xml:space="preserve"> in </w:t>
      </w:r>
      <w:r w:rsidR="003222E0" w:rsidRPr="003222E0">
        <w:rPr>
          <w:rFonts w:eastAsiaTheme="minorEastAsia"/>
          <w:lang w:val="en-US" w:eastAsia="zh-CN"/>
        </w:rPr>
        <w:t>the serving cell</w:t>
      </w:r>
      <w:r w:rsidR="001C3710">
        <w:t xml:space="preserve">, </w:t>
      </w:r>
      <w:r w:rsidR="00B45D67">
        <w:t>due to</w:t>
      </w:r>
      <w:r w:rsidR="001C3710" w:rsidRPr="001C3710">
        <w:t xml:space="preserve"> the </w:t>
      </w:r>
      <w:r w:rsidR="001C3710">
        <w:t xml:space="preserve">new </w:t>
      </w:r>
      <w:r w:rsidR="001C3710" w:rsidRPr="001C3710">
        <w:t>frame structure</w:t>
      </w:r>
      <w:r w:rsidR="001C3710">
        <w:t>.</w:t>
      </w:r>
      <w:r w:rsidR="005B54CB">
        <w:rPr>
          <w:rFonts w:cs="Times New Roman"/>
        </w:rPr>
        <w:t xml:space="preserve"> </w:t>
      </w:r>
      <w:r w:rsidR="00BA50CD" w:rsidRPr="00BA50CD">
        <w:rPr>
          <w:rFonts w:cs="Times New Roman"/>
        </w:rPr>
        <w:t xml:space="preserve">This period </w:t>
      </w:r>
      <w:r w:rsidR="00B45D67">
        <w:rPr>
          <w:rFonts w:cs="Times New Roman"/>
        </w:rPr>
        <w:t>(outside</w:t>
      </w:r>
      <w:r w:rsidR="00B45D67" w:rsidRPr="00BA50CD">
        <w:rPr>
          <w:rFonts w:cs="Times New Roman"/>
        </w:rPr>
        <w:t xml:space="preserve"> the available </w:t>
      </w:r>
      <w:r w:rsidR="00D04089" w:rsidRPr="00D04089">
        <w:t>UL and DL subframes</w:t>
      </w:r>
      <w:r w:rsidR="00B45D67">
        <w:rPr>
          <w:rFonts w:cs="Times New Roman"/>
        </w:rPr>
        <w:t xml:space="preserve">) </w:t>
      </w:r>
      <w:r w:rsidR="00BA50CD" w:rsidRPr="00BA50CD">
        <w:rPr>
          <w:rFonts w:cs="Times New Roman"/>
        </w:rPr>
        <w:t xml:space="preserve">can be regarded as entering the dormant period, which </w:t>
      </w:r>
      <w:r w:rsidR="00B45D67">
        <w:rPr>
          <w:rFonts w:cs="Times New Roman"/>
        </w:rPr>
        <w:t>is very beneficial for</w:t>
      </w:r>
      <w:r w:rsidR="00BA50CD" w:rsidRPr="00BA50CD">
        <w:rPr>
          <w:rFonts w:cs="Times New Roman"/>
        </w:rPr>
        <w:t xml:space="preserve"> </w:t>
      </w:r>
      <w:r w:rsidR="00B45D67">
        <w:rPr>
          <w:rFonts w:cs="Times New Roman"/>
        </w:rPr>
        <w:t xml:space="preserve">UE </w:t>
      </w:r>
      <w:r w:rsidR="00BA50CD" w:rsidRPr="00BA50CD">
        <w:rPr>
          <w:rFonts w:cs="Times New Roman"/>
        </w:rPr>
        <w:t>power</w:t>
      </w:r>
      <w:r w:rsidR="00B45D67">
        <w:rPr>
          <w:rFonts w:cs="Times New Roman"/>
        </w:rPr>
        <w:t xml:space="preserve"> saving</w:t>
      </w:r>
      <w:r w:rsidR="00BA50CD" w:rsidRPr="00BA50CD">
        <w:rPr>
          <w:rFonts w:cs="Times New Roman"/>
        </w:rPr>
        <w:t>.</w:t>
      </w:r>
      <w:r w:rsidR="00402FDB">
        <w:rPr>
          <w:rFonts w:cs="Times New Roman"/>
        </w:rPr>
        <w:t xml:space="preserve"> During this period</w:t>
      </w:r>
      <w:r w:rsidR="007B6AD5" w:rsidRPr="007B6AD5">
        <w:rPr>
          <w:rFonts w:eastAsiaTheme="minorEastAsia"/>
          <w:lang w:val="en-US" w:eastAsia="zh-CN"/>
        </w:rPr>
        <w:t>, some operations</w:t>
      </w:r>
      <w:r w:rsidR="00402FDB">
        <w:rPr>
          <w:rFonts w:eastAsiaTheme="minorEastAsia"/>
          <w:lang w:val="en-US" w:eastAsia="zh-CN"/>
        </w:rPr>
        <w:t xml:space="preserve"> </w:t>
      </w:r>
      <w:r w:rsidR="003222E0">
        <w:rPr>
          <w:rFonts w:eastAsiaTheme="minorEastAsia"/>
          <w:lang w:val="en-US" w:eastAsia="zh-CN"/>
        </w:rPr>
        <w:t>such as GNSS measurement</w:t>
      </w:r>
      <w:r w:rsidR="007B6AD5" w:rsidRPr="007B6AD5">
        <w:rPr>
          <w:rFonts w:eastAsiaTheme="minorEastAsia"/>
          <w:lang w:val="en-US" w:eastAsia="zh-CN"/>
        </w:rPr>
        <w:t xml:space="preserve"> </w:t>
      </w:r>
      <w:r w:rsidR="00402FDB">
        <w:rPr>
          <w:rFonts w:eastAsiaTheme="minorEastAsia"/>
          <w:lang w:val="en-US" w:eastAsia="zh-CN"/>
        </w:rPr>
        <w:t xml:space="preserve">and </w:t>
      </w:r>
      <w:r w:rsidR="00402FDB" w:rsidRPr="001C3710">
        <w:rPr>
          <w:rFonts w:eastAsiaTheme="minorEastAsia"/>
          <w:lang w:val="en-US" w:eastAsia="zh-CN"/>
        </w:rPr>
        <w:t>inter-frequency neighboring cell measurement</w:t>
      </w:r>
      <w:r w:rsidR="00402FDB" w:rsidRPr="007B6AD5" w:rsidDel="00402FDB">
        <w:rPr>
          <w:rFonts w:eastAsiaTheme="minorEastAsia"/>
          <w:lang w:val="en-US" w:eastAsia="zh-CN"/>
        </w:rPr>
        <w:t xml:space="preserve"> </w:t>
      </w:r>
      <w:r w:rsidR="00402FDB">
        <w:rPr>
          <w:rFonts w:eastAsiaTheme="minorEastAsia"/>
          <w:lang w:val="en-US" w:eastAsia="zh-CN"/>
        </w:rPr>
        <w:t>can be performed</w:t>
      </w:r>
      <w:r w:rsidR="003222E0">
        <w:rPr>
          <w:rFonts w:eastAsiaTheme="minorEastAsia"/>
          <w:lang w:val="en-US" w:eastAsia="zh-CN"/>
        </w:rPr>
        <w:t xml:space="preserve">, </w:t>
      </w:r>
      <w:r w:rsidR="003222E0" w:rsidRPr="003222E0">
        <w:rPr>
          <w:rFonts w:eastAsiaTheme="minorEastAsia"/>
          <w:lang w:val="en-US" w:eastAsia="zh-CN"/>
        </w:rPr>
        <w:t>so that normal data transmission</w:t>
      </w:r>
      <w:r w:rsidR="003222E0">
        <w:rPr>
          <w:rFonts w:eastAsiaTheme="minorEastAsia"/>
          <w:lang w:val="en-US" w:eastAsia="zh-CN"/>
        </w:rPr>
        <w:t xml:space="preserve"> during </w:t>
      </w:r>
      <w:r w:rsidR="003222E0" w:rsidRPr="003222E0">
        <w:rPr>
          <w:rFonts w:eastAsiaTheme="minorEastAsia"/>
          <w:lang w:val="en-US" w:eastAsia="zh-CN"/>
        </w:rPr>
        <w:t xml:space="preserve">the serving cell’s </w:t>
      </w:r>
      <w:r w:rsidR="00D04089" w:rsidRPr="00D04089">
        <w:rPr>
          <w:rFonts w:eastAsiaTheme="minorEastAsia"/>
          <w:lang w:val="en-US" w:eastAsia="zh-CN"/>
        </w:rPr>
        <w:t xml:space="preserve">available UL and DL </w:t>
      </w:r>
      <w:proofErr w:type="gramStart"/>
      <w:r w:rsidR="00D04089" w:rsidRPr="00D04089">
        <w:rPr>
          <w:rFonts w:eastAsiaTheme="minorEastAsia"/>
          <w:lang w:val="en-US" w:eastAsia="zh-CN"/>
        </w:rPr>
        <w:t>subframes</w:t>
      </w:r>
      <w:r w:rsidR="00D04089" w:rsidRPr="00D04089" w:rsidDel="00D04089">
        <w:rPr>
          <w:rFonts w:eastAsiaTheme="minorEastAsia"/>
          <w:lang w:val="en-US" w:eastAsia="zh-CN"/>
        </w:rPr>
        <w:t xml:space="preserve"> </w:t>
      </w:r>
      <w:r w:rsidR="003222E0" w:rsidRPr="003222E0">
        <w:rPr>
          <w:rFonts w:eastAsiaTheme="minorEastAsia"/>
          <w:lang w:val="en-US" w:eastAsia="zh-CN"/>
        </w:rPr>
        <w:t xml:space="preserve"> is</w:t>
      </w:r>
      <w:proofErr w:type="gramEnd"/>
      <w:r w:rsidR="003222E0" w:rsidRPr="003222E0">
        <w:rPr>
          <w:rFonts w:eastAsiaTheme="minorEastAsia"/>
          <w:lang w:val="en-US" w:eastAsia="zh-CN"/>
        </w:rPr>
        <w:t xml:space="preserve"> not affected.</w:t>
      </w:r>
    </w:p>
    <w:p w14:paraId="33BFE409" w14:textId="0302C582" w:rsidR="003222E0" w:rsidRPr="00DF7F00" w:rsidRDefault="00AB1B68" w:rsidP="006F0D95">
      <w:pPr>
        <w:spacing w:beforeLines="50" w:before="120"/>
        <w:rPr>
          <w:rFonts w:eastAsiaTheme="minorEastAsia"/>
          <w:lang w:val="en-US" w:eastAsia="zh-CN"/>
        </w:rPr>
      </w:pPr>
      <w:r w:rsidRPr="00B77CD3">
        <w:rPr>
          <w:rFonts w:eastAsiaTheme="minorEastAsia" w:cs="Times New Roman"/>
          <w:b/>
          <w:lang w:val="en-US" w:eastAsia="zh-CN"/>
        </w:rPr>
        <w:t xml:space="preserve">Proposal </w:t>
      </w:r>
      <w:r w:rsidR="00402FDB">
        <w:rPr>
          <w:rFonts w:eastAsiaTheme="minorEastAsia" w:cs="Times New Roman"/>
          <w:b/>
          <w:lang w:val="en-US" w:eastAsia="zh-CN"/>
        </w:rPr>
        <w:t>3</w:t>
      </w:r>
      <w:r w:rsidRPr="00B77CD3">
        <w:rPr>
          <w:rFonts w:eastAsiaTheme="minorEastAsia" w:cs="Times New Roman"/>
          <w:b/>
          <w:lang w:val="en-US" w:eastAsia="zh-CN"/>
        </w:rPr>
        <w:t xml:space="preserve">: </w:t>
      </w:r>
      <w:r>
        <w:rPr>
          <w:rFonts w:eastAsiaTheme="minorEastAsia" w:cs="Times New Roman"/>
          <w:b/>
          <w:lang w:val="en-US" w:eastAsia="zh-CN"/>
        </w:rPr>
        <w:t>M</w:t>
      </w:r>
      <w:r w:rsidRPr="003222E0">
        <w:rPr>
          <w:rFonts w:eastAsiaTheme="minorEastAsia" w:cs="Times New Roman"/>
          <w:b/>
          <w:lang w:val="en-US" w:eastAsia="zh-CN"/>
        </w:rPr>
        <w:t>easurement</w:t>
      </w:r>
      <w:r>
        <w:rPr>
          <w:rFonts w:eastAsiaTheme="minorEastAsia" w:cs="Times New Roman"/>
          <w:b/>
          <w:lang w:val="en-US" w:eastAsia="zh-CN"/>
        </w:rPr>
        <w:t xml:space="preserve"> such as </w:t>
      </w:r>
      <w:r w:rsidRPr="003222E0">
        <w:rPr>
          <w:rFonts w:eastAsiaTheme="minorEastAsia" w:cs="Times New Roman"/>
          <w:b/>
          <w:lang w:val="en-US" w:eastAsia="zh-CN"/>
        </w:rPr>
        <w:t>GNSS measurement</w:t>
      </w:r>
      <w:r w:rsidRPr="00AB1B68">
        <w:rPr>
          <w:rFonts w:eastAsiaTheme="minorEastAsia" w:cs="Times New Roman"/>
          <w:b/>
          <w:lang w:val="en-US" w:eastAsia="zh-CN"/>
        </w:rPr>
        <w:t xml:space="preserve"> and </w:t>
      </w:r>
      <w:r w:rsidR="00402FDB" w:rsidRPr="00402FDB">
        <w:rPr>
          <w:rFonts w:eastAsiaTheme="minorEastAsia" w:cs="Times New Roman"/>
          <w:b/>
          <w:lang w:val="en-US" w:eastAsia="zh-CN"/>
        </w:rPr>
        <w:t xml:space="preserve">inter-frequency </w:t>
      </w:r>
      <w:r w:rsidRPr="00AB1B68">
        <w:rPr>
          <w:rFonts w:eastAsiaTheme="minorEastAsia" w:cs="Times New Roman"/>
          <w:b/>
          <w:lang w:val="en-US" w:eastAsia="zh-CN"/>
        </w:rPr>
        <w:t>neighboring cell measurement</w:t>
      </w:r>
      <w:r>
        <w:rPr>
          <w:rFonts w:eastAsiaTheme="minorEastAsia" w:cs="Times New Roman"/>
          <w:b/>
          <w:lang w:val="en-US" w:eastAsia="zh-CN"/>
        </w:rPr>
        <w:t xml:space="preserve"> can be performed</w:t>
      </w:r>
      <w:r w:rsidRPr="003222E0">
        <w:rPr>
          <w:rFonts w:eastAsiaTheme="minorEastAsia" w:cs="Times New Roman"/>
          <w:b/>
          <w:lang w:val="en-US" w:eastAsia="zh-CN"/>
        </w:rPr>
        <w:t xml:space="preserve"> during </w:t>
      </w:r>
      <w:r>
        <w:rPr>
          <w:rFonts w:eastAsiaTheme="minorEastAsia" w:cs="Times New Roman"/>
          <w:b/>
          <w:lang w:val="en-US" w:eastAsia="zh-CN"/>
        </w:rPr>
        <w:t xml:space="preserve">the </w:t>
      </w:r>
      <w:r w:rsidRPr="003222E0">
        <w:rPr>
          <w:rFonts w:eastAsiaTheme="minorEastAsia" w:cs="Times New Roman"/>
          <w:b/>
          <w:lang w:val="en-US" w:eastAsia="zh-CN"/>
        </w:rPr>
        <w:t xml:space="preserve">period outside the serving cell's </w:t>
      </w:r>
      <w:bookmarkStart w:id="11" w:name="_Hlk197631578"/>
      <w:r w:rsidR="00D04089">
        <w:rPr>
          <w:rFonts w:eastAsiaTheme="minorEastAsia" w:cs="Times New Roman"/>
          <w:b/>
          <w:lang w:val="en-US" w:eastAsia="zh-CN"/>
        </w:rPr>
        <w:t xml:space="preserve">available </w:t>
      </w:r>
      <w:r w:rsidRPr="003222E0">
        <w:rPr>
          <w:rFonts w:eastAsiaTheme="minorEastAsia" w:cs="Times New Roman"/>
          <w:b/>
          <w:lang w:val="en-US" w:eastAsia="zh-CN"/>
        </w:rPr>
        <w:t>UL</w:t>
      </w:r>
      <w:r w:rsidR="00D04089">
        <w:rPr>
          <w:rFonts w:eastAsiaTheme="minorEastAsia" w:cs="Times New Roman"/>
          <w:b/>
          <w:lang w:val="en-US" w:eastAsia="zh-CN"/>
        </w:rPr>
        <w:t xml:space="preserve"> and </w:t>
      </w:r>
      <w:r w:rsidRPr="003222E0">
        <w:rPr>
          <w:rFonts w:eastAsiaTheme="minorEastAsia" w:cs="Times New Roman"/>
          <w:b/>
          <w:lang w:val="en-US" w:eastAsia="zh-CN"/>
        </w:rPr>
        <w:t xml:space="preserve">DL </w:t>
      </w:r>
      <w:r w:rsidR="00D04089">
        <w:rPr>
          <w:rFonts w:eastAsiaTheme="minorEastAsia" w:cs="Times New Roman"/>
          <w:b/>
          <w:lang w:val="en-US" w:eastAsia="zh-CN"/>
        </w:rPr>
        <w:t>subframes</w:t>
      </w:r>
      <w:bookmarkEnd w:id="11"/>
      <w:r w:rsidR="00D04089">
        <w:rPr>
          <w:rFonts w:eastAsiaTheme="minorEastAsia" w:cs="Times New Roman"/>
          <w:b/>
          <w:lang w:val="en-US" w:eastAsia="zh-CN"/>
        </w:rPr>
        <w:t xml:space="preserve"> </w:t>
      </w:r>
      <w:r w:rsidRPr="003222E0">
        <w:rPr>
          <w:rFonts w:eastAsiaTheme="minorEastAsia" w:cs="Times New Roman"/>
          <w:b/>
          <w:lang w:val="en-US" w:eastAsia="zh-CN"/>
        </w:rPr>
        <w:t xml:space="preserve">to avoid interfering </w:t>
      </w:r>
      <w:r w:rsidR="00D04089">
        <w:rPr>
          <w:rFonts w:eastAsiaTheme="minorEastAsia" w:cs="Times New Roman"/>
          <w:b/>
          <w:lang w:val="en-US" w:eastAsia="zh-CN"/>
        </w:rPr>
        <w:t xml:space="preserve">the </w:t>
      </w:r>
      <w:r w:rsidRPr="003222E0">
        <w:rPr>
          <w:rFonts w:eastAsiaTheme="minorEastAsia" w:cs="Times New Roman"/>
          <w:b/>
          <w:lang w:val="en-US" w:eastAsia="zh-CN"/>
        </w:rPr>
        <w:t>normal data transmission</w:t>
      </w:r>
      <w:r>
        <w:rPr>
          <w:rFonts w:eastAsiaTheme="minorEastAsia" w:cs="Times New Roman"/>
          <w:b/>
          <w:lang w:val="en-US" w:eastAsia="zh-CN"/>
        </w:rPr>
        <w:t xml:space="preserve"> </w:t>
      </w:r>
      <w:r w:rsidRPr="003222E0">
        <w:rPr>
          <w:rFonts w:eastAsiaTheme="minorEastAsia" w:cs="Times New Roman"/>
          <w:b/>
          <w:lang w:val="en-US" w:eastAsia="zh-CN"/>
        </w:rPr>
        <w:t xml:space="preserve">during the serving cell’s </w:t>
      </w:r>
      <w:r w:rsidR="00D04089">
        <w:rPr>
          <w:rFonts w:eastAsiaTheme="minorEastAsia" w:cs="Times New Roman"/>
          <w:b/>
          <w:lang w:val="en-US" w:eastAsia="zh-CN"/>
        </w:rPr>
        <w:t xml:space="preserve">available </w:t>
      </w:r>
      <w:r w:rsidR="00D04089" w:rsidRPr="003222E0">
        <w:rPr>
          <w:rFonts w:eastAsiaTheme="minorEastAsia" w:cs="Times New Roman"/>
          <w:b/>
          <w:lang w:val="en-US" w:eastAsia="zh-CN"/>
        </w:rPr>
        <w:t>UL</w:t>
      </w:r>
      <w:r w:rsidR="00D04089">
        <w:rPr>
          <w:rFonts w:eastAsiaTheme="minorEastAsia" w:cs="Times New Roman"/>
          <w:b/>
          <w:lang w:val="en-US" w:eastAsia="zh-CN"/>
        </w:rPr>
        <w:t xml:space="preserve"> and </w:t>
      </w:r>
      <w:r w:rsidR="00D04089" w:rsidRPr="003222E0">
        <w:rPr>
          <w:rFonts w:eastAsiaTheme="minorEastAsia" w:cs="Times New Roman"/>
          <w:b/>
          <w:lang w:val="en-US" w:eastAsia="zh-CN"/>
        </w:rPr>
        <w:t xml:space="preserve">DL </w:t>
      </w:r>
      <w:proofErr w:type="gramStart"/>
      <w:r w:rsidR="00D04089">
        <w:rPr>
          <w:rFonts w:eastAsiaTheme="minorEastAsia" w:cs="Times New Roman"/>
          <w:b/>
          <w:lang w:val="en-US" w:eastAsia="zh-CN"/>
        </w:rPr>
        <w:t>subframes</w:t>
      </w:r>
      <w:r w:rsidR="00D04089" w:rsidRPr="003222E0" w:rsidDel="00D04089">
        <w:rPr>
          <w:rFonts w:eastAsiaTheme="minorEastAsia" w:cs="Times New Roman"/>
          <w:b/>
          <w:lang w:val="en-US" w:eastAsia="zh-CN"/>
        </w:rPr>
        <w:t xml:space="preserve"> </w:t>
      </w:r>
      <w:r>
        <w:rPr>
          <w:rFonts w:eastAsiaTheme="minorEastAsia" w:cs="Times New Roman"/>
          <w:b/>
          <w:lang w:val="en-US" w:eastAsia="zh-CN"/>
        </w:rPr>
        <w:t>.</w:t>
      </w:r>
      <w:proofErr w:type="gramEnd"/>
    </w:p>
    <w:bookmarkEnd w:id="8"/>
    <w:p w14:paraId="296C3BA5" w14:textId="74AC38A9" w:rsidR="007A6D02" w:rsidRPr="00C02CCE" w:rsidRDefault="007A6D02" w:rsidP="007A6D02">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r w:rsidRPr="00C02CCE">
        <w:rPr>
          <w:rFonts w:ascii="Arial" w:eastAsia="Times New Roman" w:hAnsi="Arial" w:hint="eastAsia"/>
          <w:lang w:eastAsia="en-GB"/>
        </w:rPr>
        <w:t>Conclusion</w:t>
      </w:r>
      <w:r>
        <w:rPr>
          <w:rFonts w:ascii="Arial" w:eastAsia="Times New Roman" w:hAnsi="Arial"/>
          <w:lang w:eastAsia="en-GB"/>
        </w:rPr>
        <w:t xml:space="preserve"> </w:t>
      </w:r>
    </w:p>
    <w:p w14:paraId="3838E111" w14:textId="77777777" w:rsidR="007A6D02" w:rsidRDefault="007A6D02" w:rsidP="007A6D02">
      <w:pPr>
        <w:spacing w:beforeLines="50" w:before="120"/>
      </w:pPr>
      <w:r w:rsidRPr="00551AC2">
        <w:t>The observations and proposals made in this contribution are summarized belo</w:t>
      </w:r>
      <w:r>
        <w:t>w:</w:t>
      </w:r>
    </w:p>
    <w:p w14:paraId="4B195AC5" w14:textId="77777777" w:rsidR="007A6D02" w:rsidRDefault="007A6D02" w:rsidP="007A6D02">
      <w:pPr>
        <w:widowControl w:val="0"/>
        <w:rPr>
          <w:rFonts w:eastAsiaTheme="minorEastAsia" w:cs="Times New Roman"/>
          <w:i/>
          <w:u w:val="single"/>
          <w:lang w:eastAsia="zh-CN"/>
        </w:rPr>
      </w:pPr>
    </w:p>
    <w:p w14:paraId="26BC22F1" w14:textId="77777777" w:rsidR="007A6D02" w:rsidRPr="00A306A0" w:rsidRDefault="007A6D02" w:rsidP="007A6D02">
      <w:pPr>
        <w:widowControl w:val="0"/>
        <w:rPr>
          <w:rFonts w:eastAsiaTheme="minorEastAsia" w:cs="Times New Roman"/>
          <w:b/>
          <w:lang w:val="en-US" w:eastAsia="zh-CN"/>
        </w:rPr>
      </w:pPr>
      <w:r w:rsidRPr="00B77CD3">
        <w:rPr>
          <w:rFonts w:eastAsiaTheme="minorEastAsia" w:cs="Times New Roman"/>
          <w:i/>
          <w:u w:val="single"/>
          <w:lang w:eastAsia="zh-CN"/>
        </w:rPr>
        <w:t>Impacts on SI</w:t>
      </w:r>
    </w:p>
    <w:p w14:paraId="1A953632" w14:textId="346AD08E" w:rsidR="007A6D02" w:rsidRDefault="007A6D02" w:rsidP="007A6D02">
      <w:pPr>
        <w:spacing w:beforeLines="50" w:before="120"/>
        <w:rPr>
          <w:rFonts w:ascii="Arial" w:eastAsia="Times New Roman" w:hAnsi="Arial" w:cs="Times New Roman"/>
          <w:bCs/>
          <w:sz w:val="28"/>
          <w:szCs w:val="28"/>
          <w:lang w:val="en-US" w:eastAsia="en-GB"/>
        </w:rPr>
      </w:pPr>
      <w:r w:rsidRPr="00B77CD3">
        <w:rPr>
          <w:rFonts w:eastAsiaTheme="minorEastAsia" w:cs="Times New Roman"/>
          <w:b/>
          <w:lang w:val="en-US" w:eastAsia="zh-CN"/>
        </w:rPr>
        <w:t xml:space="preserve">Proposal </w:t>
      </w:r>
      <w:r w:rsidR="00DF7F00">
        <w:rPr>
          <w:rFonts w:eastAsiaTheme="minorEastAsia" w:cs="Times New Roman"/>
          <w:b/>
          <w:lang w:val="en-US" w:eastAsia="zh-CN"/>
        </w:rPr>
        <w:t>1</w:t>
      </w:r>
      <w:r w:rsidRPr="00B77CD3">
        <w:rPr>
          <w:rFonts w:eastAsiaTheme="minorEastAsia" w:cs="Times New Roman"/>
          <w:b/>
          <w:lang w:val="en-US" w:eastAsia="zh-CN"/>
        </w:rPr>
        <w:t xml:space="preserve">: </w:t>
      </w:r>
      <w:r w:rsidRPr="009B3539">
        <w:rPr>
          <w:rFonts w:eastAsiaTheme="minorEastAsia" w:cs="Times New Roman"/>
          <w:b/>
          <w:lang w:val="en-US" w:eastAsia="zh-CN"/>
        </w:rPr>
        <w:t xml:space="preserve">NPDSCH for SI </w:t>
      </w:r>
      <w:r>
        <w:rPr>
          <w:rFonts w:eastAsiaTheme="minorEastAsia" w:cs="Times New Roman"/>
          <w:b/>
          <w:lang w:val="en-US" w:eastAsia="zh-CN"/>
        </w:rPr>
        <w:t xml:space="preserve">messages </w:t>
      </w:r>
      <w:r w:rsidRPr="009B3539">
        <w:rPr>
          <w:rFonts w:eastAsiaTheme="minorEastAsia" w:cs="Times New Roman"/>
          <w:b/>
          <w:lang w:val="en-US" w:eastAsia="zh-CN"/>
        </w:rPr>
        <w:t>other than SIB1-NB</w:t>
      </w:r>
      <w:r>
        <w:rPr>
          <w:rFonts w:eastAsiaTheme="minorEastAsia" w:cs="Times New Roman"/>
          <w:b/>
          <w:lang w:val="en-US" w:eastAsia="zh-CN"/>
        </w:rPr>
        <w:t xml:space="preserve"> </w:t>
      </w:r>
      <w:r w:rsidRPr="009B3539">
        <w:rPr>
          <w:rFonts w:eastAsiaTheme="minorEastAsia" w:cs="Times New Roman"/>
          <w:b/>
          <w:lang w:val="en-US" w:eastAsia="zh-CN"/>
        </w:rPr>
        <w:t>should be mapped on NB-IoT DL subframes</w:t>
      </w:r>
      <w:r w:rsidRPr="00B77CD3">
        <w:rPr>
          <w:rFonts w:eastAsiaTheme="minorEastAsia" w:cs="Times New Roman"/>
          <w:b/>
          <w:lang w:val="en-US" w:eastAsia="zh-CN"/>
        </w:rPr>
        <w:t>.</w:t>
      </w:r>
    </w:p>
    <w:p w14:paraId="694CC9F1" w14:textId="00CF9B7A" w:rsidR="007A6D02" w:rsidRPr="00B77CD3" w:rsidRDefault="007A6D02" w:rsidP="007A6D02">
      <w:pPr>
        <w:spacing w:beforeLines="50" w:before="120"/>
        <w:rPr>
          <w:rFonts w:eastAsiaTheme="minorEastAsia" w:cs="Times New Roman"/>
          <w:b/>
          <w:lang w:val="en-US" w:eastAsia="zh-CN"/>
        </w:rPr>
      </w:pPr>
      <w:r w:rsidRPr="00B77CD3">
        <w:rPr>
          <w:rFonts w:eastAsiaTheme="minorEastAsia" w:cs="Times New Roman"/>
          <w:b/>
          <w:lang w:val="en-US" w:eastAsia="zh-CN"/>
        </w:rPr>
        <w:lastRenderedPageBreak/>
        <w:t xml:space="preserve">Proposal </w:t>
      </w:r>
      <w:r w:rsidR="00DF7F00">
        <w:rPr>
          <w:rFonts w:eastAsiaTheme="minorEastAsia" w:cs="Times New Roman"/>
          <w:b/>
          <w:lang w:val="en-US" w:eastAsia="zh-CN"/>
        </w:rPr>
        <w:t>2</w:t>
      </w:r>
      <w:r w:rsidRPr="00B77CD3">
        <w:rPr>
          <w:rFonts w:eastAsiaTheme="minorEastAsia" w:cs="Times New Roman"/>
          <w:b/>
          <w:lang w:val="en-US" w:eastAsia="zh-CN"/>
        </w:rPr>
        <w:t xml:space="preserve">: For the </w:t>
      </w:r>
      <w:r>
        <w:rPr>
          <w:rFonts w:eastAsiaTheme="minorEastAsia" w:cs="Times New Roman"/>
          <w:b/>
          <w:lang w:val="en-US" w:eastAsia="zh-CN"/>
        </w:rPr>
        <w:t xml:space="preserve">SI </w:t>
      </w:r>
      <w:r w:rsidRPr="00B77CD3">
        <w:rPr>
          <w:rFonts w:eastAsiaTheme="minorEastAsia" w:cs="Times New Roman"/>
          <w:b/>
          <w:lang w:val="en-US" w:eastAsia="zh-CN"/>
        </w:rPr>
        <w:t xml:space="preserve">reception </w:t>
      </w:r>
      <w:r>
        <w:rPr>
          <w:rFonts w:eastAsiaTheme="minorEastAsia" w:cs="Times New Roman"/>
          <w:b/>
          <w:lang w:val="en-US" w:eastAsia="zh-CN"/>
        </w:rPr>
        <w:t>with</w:t>
      </w:r>
      <w:r w:rsidRPr="00B77CD3">
        <w:rPr>
          <w:rFonts w:eastAsiaTheme="minorEastAsia" w:cs="Times New Roman"/>
          <w:b/>
          <w:lang w:val="en-US" w:eastAsia="zh-CN"/>
        </w:rPr>
        <w:t>in a</w:t>
      </w:r>
      <w:r>
        <w:rPr>
          <w:rFonts w:eastAsiaTheme="minorEastAsia" w:cs="Times New Roman"/>
          <w:b/>
          <w:lang w:val="en-US" w:eastAsia="zh-CN"/>
        </w:rPr>
        <w:t>n</w:t>
      </w:r>
      <w:r w:rsidRPr="00B77CD3">
        <w:rPr>
          <w:rFonts w:eastAsiaTheme="minorEastAsia" w:cs="Times New Roman"/>
          <w:b/>
          <w:lang w:val="en-US" w:eastAsia="zh-CN"/>
        </w:rPr>
        <w:t xml:space="preserve"> SI-window, UE should </w:t>
      </w:r>
      <w:r>
        <w:rPr>
          <w:rFonts w:eastAsiaTheme="minorEastAsia" w:cs="Times New Roman"/>
          <w:b/>
          <w:lang w:val="en-US" w:eastAsia="zh-CN"/>
        </w:rPr>
        <w:t>prioritize the previous SI reception in case there is collision between the previous SI repetitions and the subsequent SI reception</w:t>
      </w:r>
      <w:r w:rsidRPr="00B77CD3">
        <w:rPr>
          <w:rFonts w:eastAsiaTheme="minorEastAsia" w:cs="Times New Roman"/>
          <w:b/>
          <w:lang w:val="en-US" w:eastAsia="zh-CN"/>
        </w:rPr>
        <w:t xml:space="preserve">.  </w:t>
      </w:r>
    </w:p>
    <w:p w14:paraId="41EC2214" w14:textId="77777777" w:rsidR="007A6D02" w:rsidRDefault="007A6D02" w:rsidP="007A6D02">
      <w:pPr>
        <w:rPr>
          <w:b/>
        </w:rPr>
      </w:pPr>
    </w:p>
    <w:p w14:paraId="78FB0492" w14:textId="38521528" w:rsidR="00AB1B68" w:rsidRPr="00AB1B68" w:rsidRDefault="00AB1B68" w:rsidP="00AB1B68">
      <w:pPr>
        <w:spacing w:beforeLines="50" w:before="120"/>
        <w:rPr>
          <w:rFonts w:eastAsiaTheme="minorEastAsia" w:cs="Times New Roman"/>
          <w:i/>
          <w:u w:val="single"/>
          <w:lang w:eastAsia="zh-CN"/>
        </w:rPr>
      </w:pPr>
      <w:r w:rsidRPr="00AB1B68">
        <w:rPr>
          <w:rFonts w:eastAsiaTheme="minorEastAsia" w:cs="Times New Roman"/>
          <w:i/>
          <w:u w:val="single"/>
          <w:lang w:eastAsia="zh-CN"/>
        </w:rPr>
        <w:t>Impact on Measurement</w:t>
      </w:r>
    </w:p>
    <w:p w14:paraId="63138385" w14:textId="03B83D04" w:rsidR="007A6D02" w:rsidRPr="00B171A1" w:rsidRDefault="00D04089" w:rsidP="00AB1B68">
      <w:pPr>
        <w:spacing w:beforeLines="50" w:before="120"/>
        <w:rPr>
          <w:b/>
          <w:lang w:val="en-US" w:eastAsia="zh-CN"/>
        </w:rPr>
      </w:pPr>
      <w:r w:rsidRPr="00B77CD3">
        <w:rPr>
          <w:rFonts w:eastAsiaTheme="minorEastAsia" w:cs="Times New Roman"/>
          <w:b/>
          <w:lang w:val="en-US" w:eastAsia="zh-CN"/>
        </w:rPr>
        <w:t xml:space="preserve">Proposal </w:t>
      </w:r>
      <w:r>
        <w:rPr>
          <w:rFonts w:eastAsiaTheme="minorEastAsia" w:cs="Times New Roman"/>
          <w:b/>
          <w:lang w:val="en-US" w:eastAsia="zh-CN"/>
        </w:rPr>
        <w:t>3</w:t>
      </w:r>
      <w:r w:rsidRPr="00B77CD3">
        <w:rPr>
          <w:rFonts w:eastAsiaTheme="minorEastAsia" w:cs="Times New Roman"/>
          <w:b/>
          <w:lang w:val="en-US" w:eastAsia="zh-CN"/>
        </w:rPr>
        <w:t xml:space="preserve">: </w:t>
      </w:r>
      <w:r>
        <w:rPr>
          <w:rFonts w:eastAsiaTheme="minorEastAsia" w:cs="Times New Roman"/>
          <w:b/>
          <w:lang w:val="en-US" w:eastAsia="zh-CN"/>
        </w:rPr>
        <w:t>M</w:t>
      </w:r>
      <w:r w:rsidRPr="003222E0">
        <w:rPr>
          <w:rFonts w:eastAsiaTheme="minorEastAsia" w:cs="Times New Roman"/>
          <w:b/>
          <w:lang w:val="en-US" w:eastAsia="zh-CN"/>
        </w:rPr>
        <w:t>easurement</w:t>
      </w:r>
      <w:r>
        <w:rPr>
          <w:rFonts w:eastAsiaTheme="minorEastAsia" w:cs="Times New Roman"/>
          <w:b/>
          <w:lang w:val="en-US" w:eastAsia="zh-CN"/>
        </w:rPr>
        <w:t xml:space="preserve"> such as </w:t>
      </w:r>
      <w:r w:rsidRPr="003222E0">
        <w:rPr>
          <w:rFonts w:eastAsiaTheme="minorEastAsia" w:cs="Times New Roman"/>
          <w:b/>
          <w:lang w:val="en-US" w:eastAsia="zh-CN"/>
        </w:rPr>
        <w:t>GNSS measurement</w:t>
      </w:r>
      <w:r w:rsidRPr="00AB1B68">
        <w:rPr>
          <w:rFonts w:eastAsiaTheme="minorEastAsia" w:cs="Times New Roman"/>
          <w:b/>
          <w:lang w:val="en-US" w:eastAsia="zh-CN"/>
        </w:rPr>
        <w:t xml:space="preserve"> and </w:t>
      </w:r>
      <w:r w:rsidRPr="00402FDB">
        <w:rPr>
          <w:rFonts w:eastAsiaTheme="minorEastAsia" w:cs="Times New Roman"/>
          <w:b/>
          <w:lang w:val="en-US" w:eastAsia="zh-CN"/>
        </w:rPr>
        <w:t xml:space="preserve">inter-frequency </w:t>
      </w:r>
      <w:r w:rsidRPr="00AB1B68">
        <w:rPr>
          <w:rFonts w:eastAsiaTheme="minorEastAsia" w:cs="Times New Roman"/>
          <w:b/>
          <w:lang w:val="en-US" w:eastAsia="zh-CN"/>
        </w:rPr>
        <w:t>neighboring cell measurement</w:t>
      </w:r>
      <w:r>
        <w:rPr>
          <w:rFonts w:eastAsiaTheme="minorEastAsia" w:cs="Times New Roman"/>
          <w:b/>
          <w:lang w:val="en-US" w:eastAsia="zh-CN"/>
        </w:rPr>
        <w:t xml:space="preserve"> can be performed</w:t>
      </w:r>
      <w:r w:rsidRPr="003222E0">
        <w:rPr>
          <w:rFonts w:eastAsiaTheme="minorEastAsia" w:cs="Times New Roman"/>
          <w:b/>
          <w:lang w:val="en-US" w:eastAsia="zh-CN"/>
        </w:rPr>
        <w:t xml:space="preserve"> during </w:t>
      </w:r>
      <w:r>
        <w:rPr>
          <w:rFonts w:eastAsiaTheme="minorEastAsia" w:cs="Times New Roman"/>
          <w:b/>
          <w:lang w:val="en-US" w:eastAsia="zh-CN"/>
        </w:rPr>
        <w:t xml:space="preserve">the </w:t>
      </w:r>
      <w:r w:rsidRPr="003222E0">
        <w:rPr>
          <w:rFonts w:eastAsiaTheme="minorEastAsia" w:cs="Times New Roman"/>
          <w:b/>
          <w:lang w:val="en-US" w:eastAsia="zh-CN"/>
        </w:rPr>
        <w:t xml:space="preserve">period outside the serving cell's </w:t>
      </w:r>
      <w:r>
        <w:rPr>
          <w:rFonts w:eastAsiaTheme="minorEastAsia" w:cs="Times New Roman"/>
          <w:b/>
          <w:lang w:val="en-US" w:eastAsia="zh-CN"/>
        </w:rPr>
        <w:t xml:space="preserve">available </w:t>
      </w:r>
      <w:r w:rsidRPr="003222E0">
        <w:rPr>
          <w:rFonts w:eastAsiaTheme="minorEastAsia" w:cs="Times New Roman"/>
          <w:b/>
          <w:lang w:val="en-US" w:eastAsia="zh-CN"/>
        </w:rPr>
        <w:t>UL</w:t>
      </w:r>
      <w:r>
        <w:rPr>
          <w:rFonts w:eastAsiaTheme="minorEastAsia" w:cs="Times New Roman"/>
          <w:b/>
          <w:lang w:val="en-US" w:eastAsia="zh-CN"/>
        </w:rPr>
        <w:t xml:space="preserve"> and </w:t>
      </w:r>
      <w:r w:rsidRPr="003222E0">
        <w:rPr>
          <w:rFonts w:eastAsiaTheme="minorEastAsia" w:cs="Times New Roman"/>
          <w:b/>
          <w:lang w:val="en-US" w:eastAsia="zh-CN"/>
        </w:rPr>
        <w:t xml:space="preserve">DL </w:t>
      </w:r>
      <w:r>
        <w:rPr>
          <w:rFonts w:eastAsiaTheme="minorEastAsia" w:cs="Times New Roman"/>
          <w:b/>
          <w:lang w:val="en-US" w:eastAsia="zh-CN"/>
        </w:rPr>
        <w:t xml:space="preserve">subframes </w:t>
      </w:r>
      <w:r w:rsidRPr="003222E0">
        <w:rPr>
          <w:rFonts w:eastAsiaTheme="minorEastAsia" w:cs="Times New Roman"/>
          <w:b/>
          <w:lang w:val="en-US" w:eastAsia="zh-CN"/>
        </w:rPr>
        <w:t xml:space="preserve">to avoid interfering </w:t>
      </w:r>
      <w:r>
        <w:rPr>
          <w:rFonts w:eastAsiaTheme="minorEastAsia" w:cs="Times New Roman"/>
          <w:b/>
          <w:lang w:val="en-US" w:eastAsia="zh-CN"/>
        </w:rPr>
        <w:t xml:space="preserve">the </w:t>
      </w:r>
      <w:r w:rsidRPr="003222E0">
        <w:rPr>
          <w:rFonts w:eastAsiaTheme="minorEastAsia" w:cs="Times New Roman"/>
          <w:b/>
          <w:lang w:val="en-US" w:eastAsia="zh-CN"/>
        </w:rPr>
        <w:t>normal data transmission</w:t>
      </w:r>
      <w:r>
        <w:rPr>
          <w:rFonts w:eastAsiaTheme="minorEastAsia" w:cs="Times New Roman"/>
          <w:b/>
          <w:lang w:val="en-US" w:eastAsia="zh-CN"/>
        </w:rPr>
        <w:t xml:space="preserve"> </w:t>
      </w:r>
      <w:r w:rsidRPr="003222E0">
        <w:rPr>
          <w:rFonts w:eastAsiaTheme="minorEastAsia" w:cs="Times New Roman"/>
          <w:b/>
          <w:lang w:val="en-US" w:eastAsia="zh-CN"/>
        </w:rPr>
        <w:t xml:space="preserve">during the serving cell’s </w:t>
      </w:r>
      <w:r>
        <w:rPr>
          <w:rFonts w:eastAsiaTheme="minorEastAsia" w:cs="Times New Roman"/>
          <w:b/>
          <w:lang w:val="en-US" w:eastAsia="zh-CN"/>
        </w:rPr>
        <w:t xml:space="preserve">available </w:t>
      </w:r>
      <w:r w:rsidRPr="003222E0">
        <w:rPr>
          <w:rFonts w:eastAsiaTheme="minorEastAsia" w:cs="Times New Roman"/>
          <w:b/>
          <w:lang w:val="en-US" w:eastAsia="zh-CN"/>
        </w:rPr>
        <w:t>UL</w:t>
      </w:r>
      <w:r>
        <w:rPr>
          <w:rFonts w:eastAsiaTheme="minorEastAsia" w:cs="Times New Roman"/>
          <w:b/>
          <w:lang w:val="en-US" w:eastAsia="zh-CN"/>
        </w:rPr>
        <w:t xml:space="preserve"> and </w:t>
      </w:r>
      <w:r w:rsidRPr="003222E0">
        <w:rPr>
          <w:rFonts w:eastAsiaTheme="minorEastAsia" w:cs="Times New Roman"/>
          <w:b/>
          <w:lang w:val="en-US" w:eastAsia="zh-CN"/>
        </w:rPr>
        <w:t xml:space="preserve">DL </w:t>
      </w:r>
      <w:r>
        <w:rPr>
          <w:rFonts w:eastAsiaTheme="minorEastAsia" w:cs="Times New Roman"/>
          <w:b/>
          <w:lang w:val="en-US" w:eastAsia="zh-CN"/>
        </w:rPr>
        <w:t>subframes.</w:t>
      </w:r>
    </w:p>
    <w:p w14:paraId="7EA97BB3" w14:textId="77777777" w:rsidR="007A6D02" w:rsidRPr="00C02CCE" w:rsidRDefault="007A6D02" w:rsidP="007A6D02">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r w:rsidRPr="00C02CCE">
        <w:rPr>
          <w:rFonts w:ascii="Arial" w:eastAsia="Times New Roman" w:hAnsi="Arial"/>
          <w:lang w:eastAsia="en-GB"/>
        </w:rPr>
        <w:t>References</w:t>
      </w:r>
    </w:p>
    <w:p w14:paraId="46FB81EE" w14:textId="77777777" w:rsidR="007A6D02" w:rsidRDefault="007A6D02" w:rsidP="007A6D02">
      <w:pPr>
        <w:pStyle w:val="References"/>
        <w:tabs>
          <w:tab w:val="clear" w:pos="643"/>
          <w:tab w:val="num" w:pos="360"/>
        </w:tabs>
        <w:ind w:left="360"/>
      </w:pPr>
      <w:bookmarkStart w:id="12" w:name="OLE_LINK1"/>
      <w:r w:rsidRPr="00280B26">
        <w:t>RP-242415</w:t>
      </w:r>
      <w:bookmarkEnd w:id="12"/>
      <w:r>
        <w:rPr>
          <w:lang w:eastAsia="zh-CN"/>
        </w:rPr>
        <w:t xml:space="preserve">, </w:t>
      </w:r>
      <w:r w:rsidRPr="005407BE">
        <w:rPr>
          <w:lang w:eastAsia="zh-CN"/>
        </w:rPr>
        <w:t>New WID on introduction of IoT-NTN TDD mode</w:t>
      </w:r>
    </w:p>
    <w:p w14:paraId="39B463B3" w14:textId="77777777" w:rsidR="007A6D02" w:rsidRDefault="007A6D02" w:rsidP="007A6D02">
      <w:pPr>
        <w:pStyle w:val="References"/>
        <w:tabs>
          <w:tab w:val="clear" w:pos="643"/>
          <w:tab w:val="num" w:pos="360"/>
        </w:tabs>
        <w:ind w:left="360"/>
      </w:pPr>
      <w:r w:rsidRPr="00280B26">
        <w:t>Chair notes RAN1#119 eom1</w:t>
      </w:r>
    </w:p>
    <w:p w14:paraId="58619481" w14:textId="77777777" w:rsidR="007A6D02" w:rsidRPr="00466D99" w:rsidRDefault="007A6D02" w:rsidP="007A6D02">
      <w:pPr>
        <w:pStyle w:val="References"/>
        <w:tabs>
          <w:tab w:val="clear" w:pos="643"/>
          <w:tab w:val="num" w:pos="360"/>
        </w:tabs>
        <w:ind w:left="360"/>
      </w:pPr>
      <w:r w:rsidRPr="0012172F">
        <w:rPr>
          <w:lang w:val="en-GB"/>
        </w:rPr>
        <w:t>RP‑243293</w:t>
      </w:r>
      <w:r>
        <w:rPr>
          <w:lang w:val="en-GB"/>
        </w:rPr>
        <w:t xml:space="preserve">, </w:t>
      </w:r>
      <w:r w:rsidRPr="0012172F">
        <w:rPr>
          <w:lang w:val="en-GB"/>
        </w:rPr>
        <w:t>Revised WID on introduction of IoT-NTN TDD mode</w:t>
      </w:r>
    </w:p>
    <w:p w14:paraId="1AB85098" w14:textId="6E1A69FE" w:rsidR="007A6D02" w:rsidRDefault="008979E4" w:rsidP="006F0D95">
      <w:pPr>
        <w:pStyle w:val="References"/>
        <w:tabs>
          <w:tab w:val="clear" w:pos="643"/>
          <w:tab w:val="num" w:pos="360"/>
        </w:tabs>
        <w:ind w:left="360"/>
      </w:pPr>
      <w:r w:rsidRPr="00E45408">
        <w:t>R2-250</w:t>
      </w:r>
      <w:r>
        <w:t>2983</w:t>
      </w:r>
      <w:r w:rsidR="007A6D02">
        <w:rPr>
          <w:lang w:val="en-GB"/>
        </w:rPr>
        <w:t xml:space="preserve">, </w:t>
      </w:r>
      <w:r w:rsidRPr="008979E4">
        <w:rPr>
          <w:lang w:val="en-GB"/>
        </w:rPr>
        <w:t>Report from Break-out session on NR-NTN and IoT-NTN</w:t>
      </w:r>
    </w:p>
    <w:sectPr w:rsidR="007A6D02" w:rsidSect="006915AD">
      <w:footerReference w:type="default" r:id="rId9"/>
      <w:footnotePr>
        <w:numRestart w:val="eachSect"/>
      </w:footnotePr>
      <w:pgSz w:w="11907" w:h="16840" w:code="9"/>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34FAE" w16cex:dateUtc="2025-01-28T11:44:00Z"/>
  <w16cex:commentExtensible w16cex:durableId="2B435165" w16cex:dateUtc="2025-01-28T1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A72A5" w14:textId="77777777" w:rsidR="00CA0A60" w:rsidRDefault="00CA0A60">
      <w:r>
        <w:separator/>
      </w:r>
    </w:p>
  </w:endnote>
  <w:endnote w:type="continuationSeparator" w:id="0">
    <w:p w14:paraId="59AF9B5D" w14:textId="77777777" w:rsidR="00CA0A60" w:rsidRDefault="00CA0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DE420E" w:rsidRDefault="00DE420E">
    <w:pPr>
      <w:pStyle w:val="ab"/>
    </w:pPr>
    <w:r w:rsidRPr="00B75678">
      <w:tab/>
      <w:t xml:space="preserve"> </w:t>
    </w:r>
    <w:r>
      <w:fldChar w:fldCharType="begin"/>
    </w:r>
    <w:r>
      <w:instrText xml:space="preserve"> PAGE </w:instrText>
    </w:r>
    <w:r>
      <w:fldChar w:fldCharType="separate"/>
    </w:r>
    <w:r w:rsidR="00A264B1">
      <w:t>4</w:t>
    </w:r>
    <w:r>
      <w:fldChar w:fldCharType="end"/>
    </w:r>
    <w:r>
      <w:rPr>
        <w:rFonts w:hint="eastAsia"/>
        <w:lang w:eastAsia="zh-CN"/>
      </w:rPr>
      <w:t>/</w:t>
    </w:r>
    <w:r>
      <w:fldChar w:fldCharType="begin"/>
    </w:r>
    <w:r>
      <w:instrText xml:space="preserve"> NUMPAGES </w:instrText>
    </w:r>
    <w:r>
      <w:fldChar w:fldCharType="separate"/>
    </w:r>
    <w:r w:rsidR="00A264B1">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60A55" w14:textId="77777777" w:rsidR="00CA0A60" w:rsidRDefault="00CA0A60">
      <w:r>
        <w:separator/>
      </w:r>
    </w:p>
  </w:footnote>
  <w:footnote w:type="continuationSeparator" w:id="0">
    <w:p w14:paraId="44E91272" w14:textId="77777777" w:rsidR="00CA0A60" w:rsidRDefault="00CA0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CF04F4"/>
    <w:multiLevelType w:val="hybridMultilevel"/>
    <w:tmpl w:val="46942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64317"/>
    <w:multiLevelType w:val="hybridMultilevel"/>
    <w:tmpl w:val="C3506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EB215F"/>
    <w:multiLevelType w:val="hybridMultilevel"/>
    <w:tmpl w:val="FDC0400A"/>
    <w:lvl w:ilvl="0" w:tplc="08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62F68"/>
    <w:multiLevelType w:val="hybridMultilevel"/>
    <w:tmpl w:val="CC963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F65793F"/>
    <w:multiLevelType w:val="hybridMultilevel"/>
    <w:tmpl w:val="4D62271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9211ED"/>
    <w:multiLevelType w:val="hybridMultilevel"/>
    <w:tmpl w:val="A71A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5E6712F"/>
    <w:multiLevelType w:val="hybridMultilevel"/>
    <w:tmpl w:val="84D66750"/>
    <w:lvl w:ilvl="0" w:tplc="9536D1F6">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1" w15:restartNumberingAfterBreak="0">
    <w:nsid w:val="42963C95"/>
    <w:multiLevelType w:val="hybridMultilevel"/>
    <w:tmpl w:val="AF363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51C43"/>
    <w:multiLevelType w:val="hybridMultilevel"/>
    <w:tmpl w:val="C432279C"/>
    <w:lvl w:ilvl="0" w:tplc="03702094">
      <w:start w:val="1"/>
      <w:numFmt w:val="bullet"/>
      <w:lvlText w:val="•"/>
      <w:lvlJc w:val="left"/>
      <w:pPr>
        <w:tabs>
          <w:tab w:val="num" w:pos="720"/>
        </w:tabs>
        <w:ind w:left="720" w:hanging="360"/>
      </w:pPr>
      <w:rPr>
        <w:rFonts w:ascii="Arial" w:hAnsi="Arial" w:hint="default"/>
      </w:rPr>
    </w:lvl>
    <w:lvl w:ilvl="1" w:tplc="475613F4" w:tentative="1">
      <w:start w:val="1"/>
      <w:numFmt w:val="bullet"/>
      <w:lvlText w:val="•"/>
      <w:lvlJc w:val="left"/>
      <w:pPr>
        <w:tabs>
          <w:tab w:val="num" w:pos="1440"/>
        </w:tabs>
        <w:ind w:left="1440" w:hanging="360"/>
      </w:pPr>
      <w:rPr>
        <w:rFonts w:ascii="Arial" w:hAnsi="Arial" w:hint="default"/>
      </w:rPr>
    </w:lvl>
    <w:lvl w:ilvl="2" w:tplc="BC04947A" w:tentative="1">
      <w:start w:val="1"/>
      <w:numFmt w:val="bullet"/>
      <w:lvlText w:val="•"/>
      <w:lvlJc w:val="left"/>
      <w:pPr>
        <w:tabs>
          <w:tab w:val="num" w:pos="2160"/>
        </w:tabs>
        <w:ind w:left="2160" w:hanging="360"/>
      </w:pPr>
      <w:rPr>
        <w:rFonts w:ascii="Arial" w:hAnsi="Arial" w:hint="default"/>
      </w:rPr>
    </w:lvl>
    <w:lvl w:ilvl="3" w:tplc="724E901E" w:tentative="1">
      <w:start w:val="1"/>
      <w:numFmt w:val="bullet"/>
      <w:lvlText w:val="•"/>
      <w:lvlJc w:val="left"/>
      <w:pPr>
        <w:tabs>
          <w:tab w:val="num" w:pos="2880"/>
        </w:tabs>
        <w:ind w:left="2880" w:hanging="360"/>
      </w:pPr>
      <w:rPr>
        <w:rFonts w:ascii="Arial" w:hAnsi="Arial" w:hint="default"/>
      </w:rPr>
    </w:lvl>
    <w:lvl w:ilvl="4" w:tplc="72B4C43C" w:tentative="1">
      <w:start w:val="1"/>
      <w:numFmt w:val="bullet"/>
      <w:lvlText w:val="•"/>
      <w:lvlJc w:val="left"/>
      <w:pPr>
        <w:tabs>
          <w:tab w:val="num" w:pos="3600"/>
        </w:tabs>
        <w:ind w:left="3600" w:hanging="360"/>
      </w:pPr>
      <w:rPr>
        <w:rFonts w:ascii="Arial" w:hAnsi="Arial" w:hint="default"/>
      </w:rPr>
    </w:lvl>
    <w:lvl w:ilvl="5" w:tplc="A91C181C" w:tentative="1">
      <w:start w:val="1"/>
      <w:numFmt w:val="bullet"/>
      <w:lvlText w:val="•"/>
      <w:lvlJc w:val="left"/>
      <w:pPr>
        <w:tabs>
          <w:tab w:val="num" w:pos="4320"/>
        </w:tabs>
        <w:ind w:left="4320" w:hanging="360"/>
      </w:pPr>
      <w:rPr>
        <w:rFonts w:ascii="Arial" w:hAnsi="Arial" w:hint="default"/>
      </w:rPr>
    </w:lvl>
    <w:lvl w:ilvl="6" w:tplc="409ADC9E" w:tentative="1">
      <w:start w:val="1"/>
      <w:numFmt w:val="bullet"/>
      <w:lvlText w:val="•"/>
      <w:lvlJc w:val="left"/>
      <w:pPr>
        <w:tabs>
          <w:tab w:val="num" w:pos="5040"/>
        </w:tabs>
        <w:ind w:left="5040" w:hanging="360"/>
      </w:pPr>
      <w:rPr>
        <w:rFonts w:ascii="Arial" w:hAnsi="Arial" w:hint="default"/>
      </w:rPr>
    </w:lvl>
    <w:lvl w:ilvl="7" w:tplc="52D06DFA" w:tentative="1">
      <w:start w:val="1"/>
      <w:numFmt w:val="bullet"/>
      <w:lvlText w:val="•"/>
      <w:lvlJc w:val="left"/>
      <w:pPr>
        <w:tabs>
          <w:tab w:val="num" w:pos="5760"/>
        </w:tabs>
        <w:ind w:left="5760" w:hanging="360"/>
      </w:pPr>
      <w:rPr>
        <w:rFonts w:ascii="Arial" w:hAnsi="Arial" w:hint="default"/>
      </w:rPr>
    </w:lvl>
    <w:lvl w:ilvl="8" w:tplc="69BCB2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9B43528"/>
    <w:multiLevelType w:val="hybridMultilevel"/>
    <w:tmpl w:val="052E08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8D16B4"/>
    <w:multiLevelType w:val="hybridMultilevel"/>
    <w:tmpl w:val="54D601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CB5953"/>
    <w:multiLevelType w:val="hybridMultilevel"/>
    <w:tmpl w:val="1CDE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4" w15:restartNumberingAfterBreak="0">
    <w:nsid w:val="763C25C3"/>
    <w:multiLevelType w:val="hybridMultilevel"/>
    <w:tmpl w:val="A3D0E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7B35FB7"/>
    <w:multiLevelType w:val="hybridMultilevel"/>
    <w:tmpl w:val="4F24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B596264"/>
    <w:multiLevelType w:val="hybridMultilevel"/>
    <w:tmpl w:val="B92A06F4"/>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720DCF"/>
    <w:multiLevelType w:val="hybridMultilevel"/>
    <w:tmpl w:val="E064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40"/>
  </w:num>
  <w:num w:numId="2">
    <w:abstractNumId w:val="13"/>
  </w:num>
  <w:num w:numId="3">
    <w:abstractNumId w:val="33"/>
  </w:num>
  <w:num w:numId="4">
    <w:abstractNumId w:val="2"/>
  </w:num>
  <w:num w:numId="5">
    <w:abstractNumId w:val="1"/>
  </w:num>
  <w:num w:numId="6">
    <w:abstractNumId w:val="0"/>
  </w:num>
  <w:num w:numId="7">
    <w:abstractNumId w:val="16"/>
  </w:num>
  <w:num w:numId="8">
    <w:abstractNumId w:val="35"/>
  </w:num>
  <w:num w:numId="9">
    <w:abstractNumId w:val="29"/>
  </w:num>
  <w:num w:numId="10">
    <w:abstractNumId w:val="11"/>
  </w:num>
  <w:num w:numId="11">
    <w:abstractNumId w:val="20"/>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6"/>
  </w:num>
  <w:num w:numId="15">
    <w:abstractNumId w:val="31"/>
  </w:num>
  <w:num w:numId="16">
    <w:abstractNumId w:val="32"/>
  </w:num>
  <w:num w:numId="17">
    <w:abstractNumId w:val="23"/>
  </w:num>
  <w:num w:numId="18">
    <w:abstractNumId w:val="7"/>
  </w:num>
  <w:num w:numId="19">
    <w:abstractNumId w:val="37"/>
  </w:num>
  <w:num w:numId="20">
    <w:abstractNumId w:val="9"/>
  </w:num>
  <w:num w:numId="21">
    <w:abstractNumId w:val="30"/>
  </w:num>
  <w:num w:numId="22">
    <w:abstractNumId w:val="12"/>
  </w:num>
  <w:num w:numId="23">
    <w:abstractNumId w:val="18"/>
  </w:num>
  <w:num w:numId="24">
    <w:abstractNumId w:val="10"/>
  </w:num>
  <w:num w:numId="25">
    <w:abstractNumId w:val="34"/>
  </w:num>
  <w:num w:numId="26">
    <w:abstractNumId w:val="3"/>
  </w:num>
  <w:num w:numId="27">
    <w:abstractNumId w:val="17"/>
  </w:num>
  <w:num w:numId="28">
    <w:abstractNumId w:val="22"/>
  </w:num>
  <w:num w:numId="29">
    <w:abstractNumId w:val="15"/>
  </w:num>
  <w:num w:numId="30">
    <w:abstractNumId w:val="27"/>
  </w:num>
  <w:num w:numId="31">
    <w:abstractNumId w:val="36"/>
  </w:num>
  <w:num w:numId="32">
    <w:abstractNumId w:val="38"/>
  </w:num>
  <w:num w:numId="33">
    <w:abstractNumId w:val="5"/>
  </w:num>
  <w:num w:numId="34">
    <w:abstractNumId w:val="21"/>
  </w:num>
  <w:num w:numId="35">
    <w:abstractNumId w:val="28"/>
  </w:num>
  <w:num w:numId="36">
    <w:abstractNumId w:val="39"/>
  </w:num>
  <w:num w:numId="37">
    <w:abstractNumId w:val="19"/>
  </w:num>
  <w:num w:numId="38">
    <w:abstractNumId w:val="8"/>
  </w:num>
  <w:num w:numId="39">
    <w:abstractNumId w:val="25"/>
  </w:num>
  <w:num w:numId="40">
    <w:abstractNumId w:val="24"/>
  </w:num>
  <w:num w:numId="41">
    <w:abstractNumId w:val="26"/>
  </w:num>
  <w:num w:numId="4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0F4E"/>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4C9"/>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38"/>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B3B"/>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6E36"/>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0AF"/>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A7C"/>
    <w:rsid w:val="00050D6A"/>
    <w:rsid w:val="00050E44"/>
    <w:rsid w:val="000510F3"/>
    <w:rsid w:val="00051631"/>
    <w:rsid w:val="0005179E"/>
    <w:rsid w:val="00051A27"/>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D8"/>
    <w:rsid w:val="000611E5"/>
    <w:rsid w:val="00061383"/>
    <w:rsid w:val="000613B0"/>
    <w:rsid w:val="000613BE"/>
    <w:rsid w:val="00061423"/>
    <w:rsid w:val="0006150B"/>
    <w:rsid w:val="000616AB"/>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05"/>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72C"/>
    <w:rsid w:val="00084B53"/>
    <w:rsid w:val="00084BC6"/>
    <w:rsid w:val="00084BF3"/>
    <w:rsid w:val="00084ED5"/>
    <w:rsid w:val="00084F0C"/>
    <w:rsid w:val="0008526C"/>
    <w:rsid w:val="00085830"/>
    <w:rsid w:val="00085BDE"/>
    <w:rsid w:val="00085C22"/>
    <w:rsid w:val="00085E4C"/>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2F"/>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59D"/>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BE1"/>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AC4"/>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E7F"/>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0"/>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7F1"/>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679"/>
    <w:rsid w:val="000F3BCF"/>
    <w:rsid w:val="000F3D54"/>
    <w:rsid w:val="000F3F11"/>
    <w:rsid w:val="000F3F2C"/>
    <w:rsid w:val="000F3FFB"/>
    <w:rsid w:val="000F4070"/>
    <w:rsid w:val="000F4095"/>
    <w:rsid w:val="000F40F4"/>
    <w:rsid w:val="000F4150"/>
    <w:rsid w:val="000F4503"/>
    <w:rsid w:val="000F4697"/>
    <w:rsid w:val="000F49C2"/>
    <w:rsid w:val="000F4B74"/>
    <w:rsid w:val="000F4E8E"/>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CD0"/>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857"/>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51"/>
    <w:rsid w:val="0011628B"/>
    <w:rsid w:val="00116387"/>
    <w:rsid w:val="00116656"/>
    <w:rsid w:val="001167A8"/>
    <w:rsid w:val="00116A84"/>
    <w:rsid w:val="00116AD9"/>
    <w:rsid w:val="00116C14"/>
    <w:rsid w:val="00116D4A"/>
    <w:rsid w:val="00116D6F"/>
    <w:rsid w:val="00116DE1"/>
    <w:rsid w:val="0011719D"/>
    <w:rsid w:val="00117202"/>
    <w:rsid w:val="001175EB"/>
    <w:rsid w:val="001178B0"/>
    <w:rsid w:val="00117AB9"/>
    <w:rsid w:val="00117C98"/>
    <w:rsid w:val="00117D7A"/>
    <w:rsid w:val="00117DC4"/>
    <w:rsid w:val="00117E84"/>
    <w:rsid w:val="00117FA0"/>
    <w:rsid w:val="0012005D"/>
    <w:rsid w:val="001203E7"/>
    <w:rsid w:val="001206CA"/>
    <w:rsid w:val="00120B20"/>
    <w:rsid w:val="00120C4D"/>
    <w:rsid w:val="00120E42"/>
    <w:rsid w:val="00120EEF"/>
    <w:rsid w:val="001211EA"/>
    <w:rsid w:val="0012142A"/>
    <w:rsid w:val="00121649"/>
    <w:rsid w:val="0012172F"/>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27E93"/>
    <w:rsid w:val="001300AA"/>
    <w:rsid w:val="00130756"/>
    <w:rsid w:val="001309CE"/>
    <w:rsid w:val="00130A28"/>
    <w:rsid w:val="00130A37"/>
    <w:rsid w:val="00130C8A"/>
    <w:rsid w:val="00130EAE"/>
    <w:rsid w:val="00131018"/>
    <w:rsid w:val="0013101C"/>
    <w:rsid w:val="001310CD"/>
    <w:rsid w:val="00131136"/>
    <w:rsid w:val="0013129E"/>
    <w:rsid w:val="0013152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6BD"/>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18"/>
    <w:rsid w:val="0015587D"/>
    <w:rsid w:val="00155DA3"/>
    <w:rsid w:val="00156315"/>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975"/>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53"/>
    <w:rsid w:val="001B00C9"/>
    <w:rsid w:val="001B0343"/>
    <w:rsid w:val="001B042A"/>
    <w:rsid w:val="001B0544"/>
    <w:rsid w:val="001B0AEF"/>
    <w:rsid w:val="001B0E86"/>
    <w:rsid w:val="001B0F91"/>
    <w:rsid w:val="001B1385"/>
    <w:rsid w:val="001B141F"/>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B7EF2"/>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E8E"/>
    <w:rsid w:val="001C2EB5"/>
    <w:rsid w:val="001C31D9"/>
    <w:rsid w:val="001C31FA"/>
    <w:rsid w:val="001C322E"/>
    <w:rsid w:val="001C33EB"/>
    <w:rsid w:val="001C3503"/>
    <w:rsid w:val="001C36B4"/>
    <w:rsid w:val="001C3710"/>
    <w:rsid w:val="001C38B4"/>
    <w:rsid w:val="001C39EE"/>
    <w:rsid w:val="001C40B9"/>
    <w:rsid w:val="001C416D"/>
    <w:rsid w:val="001C427F"/>
    <w:rsid w:val="001C4465"/>
    <w:rsid w:val="001C47FA"/>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B6"/>
    <w:rsid w:val="001C6DF7"/>
    <w:rsid w:val="001C7A51"/>
    <w:rsid w:val="001C7CB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2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A4"/>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1B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81"/>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72"/>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E"/>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4F4"/>
    <w:rsid w:val="002405A2"/>
    <w:rsid w:val="002405D2"/>
    <w:rsid w:val="002406AF"/>
    <w:rsid w:val="00240769"/>
    <w:rsid w:val="00240FD4"/>
    <w:rsid w:val="002410E5"/>
    <w:rsid w:val="002410E7"/>
    <w:rsid w:val="0024141D"/>
    <w:rsid w:val="00241564"/>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A7E"/>
    <w:rsid w:val="00253B49"/>
    <w:rsid w:val="00253C53"/>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03"/>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77E00"/>
    <w:rsid w:val="00280125"/>
    <w:rsid w:val="0028027B"/>
    <w:rsid w:val="00280292"/>
    <w:rsid w:val="002802CD"/>
    <w:rsid w:val="002804C2"/>
    <w:rsid w:val="0028062F"/>
    <w:rsid w:val="002807B4"/>
    <w:rsid w:val="002808AD"/>
    <w:rsid w:val="002808B1"/>
    <w:rsid w:val="002809FB"/>
    <w:rsid w:val="00280B26"/>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E94"/>
    <w:rsid w:val="00293F60"/>
    <w:rsid w:val="00293FCD"/>
    <w:rsid w:val="0029423B"/>
    <w:rsid w:val="002945E0"/>
    <w:rsid w:val="0029468C"/>
    <w:rsid w:val="00294CD6"/>
    <w:rsid w:val="00294D9C"/>
    <w:rsid w:val="00294DE9"/>
    <w:rsid w:val="00294F56"/>
    <w:rsid w:val="00294F82"/>
    <w:rsid w:val="002950B1"/>
    <w:rsid w:val="0029524B"/>
    <w:rsid w:val="00295352"/>
    <w:rsid w:val="0029541E"/>
    <w:rsid w:val="00295431"/>
    <w:rsid w:val="002958EC"/>
    <w:rsid w:val="00295AA0"/>
    <w:rsid w:val="00295AAE"/>
    <w:rsid w:val="00295ACF"/>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1C"/>
    <w:rsid w:val="002A2FC1"/>
    <w:rsid w:val="002A3236"/>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35C"/>
    <w:rsid w:val="002A7667"/>
    <w:rsid w:val="002A7A04"/>
    <w:rsid w:val="002A7C35"/>
    <w:rsid w:val="002A7CC5"/>
    <w:rsid w:val="002A7EB8"/>
    <w:rsid w:val="002A7F18"/>
    <w:rsid w:val="002A7F67"/>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E8D"/>
    <w:rsid w:val="002B2F09"/>
    <w:rsid w:val="002B3076"/>
    <w:rsid w:val="002B3137"/>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255"/>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BEF"/>
    <w:rsid w:val="002D5D33"/>
    <w:rsid w:val="002D5E78"/>
    <w:rsid w:val="002D5F50"/>
    <w:rsid w:val="002D5F95"/>
    <w:rsid w:val="002D6143"/>
    <w:rsid w:val="002D6397"/>
    <w:rsid w:val="002D6543"/>
    <w:rsid w:val="002D695E"/>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768"/>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6CC7"/>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260"/>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2F7F1D"/>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009"/>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F74"/>
    <w:rsid w:val="00321FD4"/>
    <w:rsid w:val="003220A2"/>
    <w:rsid w:val="0032211F"/>
    <w:rsid w:val="003222E0"/>
    <w:rsid w:val="003222FA"/>
    <w:rsid w:val="003223F7"/>
    <w:rsid w:val="0032263F"/>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9AE"/>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4BA"/>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B13"/>
    <w:rsid w:val="00345CC3"/>
    <w:rsid w:val="00345D48"/>
    <w:rsid w:val="00345DFD"/>
    <w:rsid w:val="00345F4F"/>
    <w:rsid w:val="00346239"/>
    <w:rsid w:val="00346426"/>
    <w:rsid w:val="003466AB"/>
    <w:rsid w:val="0034699B"/>
    <w:rsid w:val="00346B7A"/>
    <w:rsid w:val="00346C84"/>
    <w:rsid w:val="0034730E"/>
    <w:rsid w:val="003473D9"/>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1D08"/>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1C"/>
    <w:rsid w:val="00365C77"/>
    <w:rsid w:val="00365DD5"/>
    <w:rsid w:val="00365F6C"/>
    <w:rsid w:val="00366340"/>
    <w:rsid w:val="00366356"/>
    <w:rsid w:val="003664EE"/>
    <w:rsid w:val="00366719"/>
    <w:rsid w:val="003667CA"/>
    <w:rsid w:val="00366BCE"/>
    <w:rsid w:val="00366E76"/>
    <w:rsid w:val="00366F0A"/>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505C"/>
    <w:rsid w:val="00375137"/>
    <w:rsid w:val="00375138"/>
    <w:rsid w:val="003752C3"/>
    <w:rsid w:val="00375754"/>
    <w:rsid w:val="00375978"/>
    <w:rsid w:val="00375A3E"/>
    <w:rsid w:val="00375A93"/>
    <w:rsid w:val="0037617E"/>
    <w:rsid w:val="003762EF"/>
    <w:rsid w:val="00376746"/>
    <w:rsid w:val="00376CE8"/>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0C8"/>
    <w:rsid w:val="00381251"/>
    <w:rsid w:val="00381297"/>
    <w:rsid w:val="003812FF"/>
    <w:rsid w:val="00381341"/>
    <w:rsid w:val="0038179E"/>
    <w:rsid w:val="0038180E"/>
    <w:rsid w:val="00381AF6"/>
    <w:rsid w:val="00381B88"/>
    <w:rsid w:val="00381B9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9DC"/>
    <w:rsid w:val="00383A94"/>
    <w:rsid w:val="00384806"/>
    <w:rsid w:val="00384A18"/>
    <w:rsid w:val="00384A5F"/>
    <w:rsid w:val="00384DA6"/>
    <w:rsid w:val="00384E8B"/>
    <w:rsid w:val="00384EAF"/>
    <w:rsid w:val="00384EED"/>
    <w:rsid w:val="00384F1E"/>
    <w:rsid w:val="00385087"/>
    <w:rsid w:val="003851B0"/>
    <w:rsid w:val="00385660"/>
    <w:rsid w:val="00385715"/>
    <w:rsid w:val="003858D1"/>
    <w:rsid w:val="00385E2C"/>
    <w:rsid w:val="00385EC4"/>
    <w:rsid w:val="0038605C"/>
    <w:rsid w:val="0038633D"/>
    <w:rsid w:val="00386763"/>
    <w:rsid w:val="00386815"/>
    <w:rsid w:val="00386981"/>
    <w:rsid w:val="003869FF"/>
    <w:rsid w:val="00386FF5"/>
    <w:rsid w:val="00387664"/>
    <w:rsid w:val="00387704"/>
    <w:rsid w:val="00387985"/>
    <w:rsid w:val="00387A6C"/>
    <w:rsid w:val="00387BA9"/>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15"/>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B7B4E"/>
    <w:rsid w:val="003C0280"/>
    <w:rsid w:val="003C03B2"/>
    <w:rsid w:val="003C0492"/>
    <w:rsid w:val="003C051A"/>
    <w:rsid w:val="003C067C"/>
    <w:rsid w:val="003C0896"/>
    <w:rsid w:val="003C0920"/>
    <w:rsid w:val="003C0954"/>
    <w:rsid w:val="003C0D9D"/>
    <w:rsid w:val="003C1479"/>
    <w:rsid w:val="003C1494"/>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6EFA"/>
    <w:rsid w:val="003C7470"/>
    <w:rsid w:val="003C7568"/>
    <w:rsid w:val="003C76B6"/>
    <w:rsid w:val="003D0141"/>
    <w:rsid w:val="003D039A"/>
    <w:rsid w:val="003D0473"/>
    <w:rsid w:val="003D04BD"/>
    <w:rsid w:val="003D0C01"/>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862"/>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BB"/>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328"/>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566"/>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2FDB"/>
    <w:rsid w:val="00403136"/>
    <w:rsid w:val="004031EF"/>
    <w:rsid w:val="00403252"/>
    <w:rsid w:val="004033D7"/>
    <w:rsid w:val="00403635"/>
    <w:rsid w:val="0040366E"/>
    <w:rsid w:val="00403716"/>
    <w:rsid w:val="004037B3"/>
    <w:rsid w:val="0040396D"/>
    <w:rsid w:val="0040397B"/>
    <w:rsid w:val="004041CB"/>
    <w:rsid w:val="0040421A"/>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96D"/>
    <w:rsid w:val="00410A87"/>
    <w:rsid w:val="00410F61"/>
    <w:rsid w:val="004110B3"/>
    <w:rsid w:val="00411183"/>
    <w:rsid w:val="004112A6"/>
    <w:rsid w:val="004114B0"/>
    <w:rsid w:val="004114EC"/>
    <w:rsid w:val="0041165A"/>
    <w:rsid w:val="0041197C"/>
    <w:rsid w:val="00411982"/>
    <w:rsid w:val="00411A30"/>
    <w:rsid w:val="00411C13"/>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5F"/>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6ED8"/>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830"/>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0F59"/>
    <w:rsid w:val="00441161"/>
    <w:rsid w:val="004413BC"/>
    <w:rsid w:val="004414B9"/>
    <w:rsid w:val="00441609"/>
    <w:rsid w:val="00441621"/>
    <w:rsid w:val="0044190F"/>
    <w:rsid w:val="004419A5"/>
    <w:rsid w:val="00441BA6"/>
    <w:rsid w:val="00441BFB"/>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B7"/>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36B"/>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3BED"/>
    <w:rsid w:val="00464246"/>
    <w:rsid w:val="004643DB"/>
    <w:rsid w:val="0046489A"/>
    <w:rsid w:val="00464CBA"/>
    <w:rsid w:val="00464ED5"/>
    <w:rsid w:val="00464EDE"/>
    <w:rsid w:val="00464F88"/>
    <w:rsid w:val="0046514B"/>
    <w:rsid w:val="004655A0"/>
    <w:rsid w:val="004657C2"/>
    <w:rsid w:val="00465F09"/>
    <w:rsid w:val="00466021"/>
    <w:rsid w:val="0046623E"/>
    <w:rsid w:val="00466B68"/>
    <w:rsid w:val="00466BB8"/>
    <w:rsid w:val="00466BC2"/>
    <w:rsid w:val="00466C92"/>
    <w:rsid w:val="00466D99"/>
    <w:rsid w:val="00466E30"/>
    <w:rsid w:val="00466EAA"/>
    <w:rsid w:val="004671CE"/>
    <w:rsid w:val="00467784"/>
    <w:rsid w:val="004677B5"/>
    <w:rsid w:val="004678D4"/>
    <w:rsid w:val="00467C4D"/>
    <w:rsid w:val="00467F21"/>
    <w:rsid w:val="00467FB4"/>
    <w:rsid w:val="00470038"/>
    <w:rsid w:val="004704C4"/>
    <w:rsid w:val="0047070E"/>
    <w:rsid w:val="0047076F"/>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580"/>
    <w:rsid w:val="00484965"/>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4D"/>
    <w:rsid w:val="004938DF"/>
    <w:rsid w:val="00493A11"/>
    <w:rsid w:val="00493C01"/>
    <w:rsid w:val="00493CF3"/>
    <w:rsid w:val="004940AB"/>
    <w:rsid w:val="00494325"/>
    <w:rsid w:val="004943E4"/>
    <w:rsid w:val="00494612"/>
    <w:rsid w:val="00494708"/>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9C"/>
    <w:rsid w:val="004A03E9"/>
    <w:rsid w:val="004A0421"/>
    <w:rsid w:val="004A0517"/>
    <w:rsid w:val="004A0574"/>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672"/>
    <w:rsid w:val="004C27EF"/>
    <w:rsid w:val="004C298B"/>
    <w:rsid w:val="004C2B7B"/>
    <w:rsid w:val="004C2CF3"/>
    <w:rsid w:val="004C30A2"/>
    <w:rsid w:val="004C3757"/>
    <w:rsid w:val="004C3853"/>
    <w:rsid w:val="004C397D"/>
    <w:rsid w:val="004C3ACB"/>
    <w:rsid w:val="004C3AE0"/>
    <w:rsid w:val="004C3B8F"/>
    <w:rsid w:val="004C3D3C"/>
    <w:rsid w:val="004C3DB7"/>
    <w:rsid w:val="004C40BF"/>
    <w:rsid w:val="004C47DB"/>
    <w:rsid w:val="004C4BAB"/>
    <w:rsid w:val="004C4BD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5A"/>
    <w:rsid w:val="004D07AD"/>
    <w:rsid w:val="004D0835"/>
    <w:rsid w:val="004D0915"/>
    <w:rsid w:val="004D0B42"/>
    <w:rsid w:val="004D0C0F"/>
    <w:rsid w:val="004D0F77"/>
    <w:rsid w:val="004D0FC8"/>
    <w:rsid w:val="004D1072"/>
    <w:rsid w:val="004D109D"/>
    <w:rsid w:val="004D11DD"/>
    <w:rsid w:val="004D1652"/>
    <w:rsid w:val="004D17ED"/>
    <w:rsid w:val="004D184C"/>
    <w:rsid w:val="004D18E1"/>
    <w:rsid w:val="004D1E55"/>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220"/>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1E1"/>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091"/>
    <w:rsid w:val="005013C9"/>
    <w:rsid w:val="00501781"/>
    <w:rsid w:val="00501823"/>
    <w:rsid w:val="00501958"/>
    <w:rsid w:val="005019B3"/>
    <w:rsid w:val="00501E37"/>
    <w:rsid w:val="00502054"/>
    <w:rsid w:val="005020BA"/>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4DDA"/>
    <w:rsid w:val="0050506A"/>
    <w:rsid w:val="00505394"/>
    <w:rsid w:val="00505433"/>
    <w:rsid w:val="00505600"/>
    <w:rsid w:val="00505C32"/>
    <w:rsid w:val="00505C8C"/>
    <w:rsid w:val="00505EC3"/>
    <w:rsid w:val="00506194"/>
    <w:rsid w:val="005063C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685"/>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477"/>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19C"/>
    <w:rsid w:val="0052047F"/>
    <w:rsid w:val="005204B2"/>
    <w:rsid w:val="005204E2"/>
    <w:rsid w:val="0052072E"/>
    <w:rsid w:val="005208DB"/>
    <w:rsid w:val="00520BCA"/>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0B4"/>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7BE"/>
    <w:rsid w:val="005409F9"/>
    <w:rsid w:val="00540CEE"/>
    <w:rsid w:val="00540CF0"/>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6F6"/>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AF6"/>
    <w:rsid w:val="00553BBD"/>
    <w:rsid w:val="00553CD0"/>
    <w:rsid w:val="00553DB6"/>
    <w:rsid w:val="00553F2B"/>
    <w:rsid w:val="00553F6F"/>
    <w:rsid w:val="005540BA"/>
    <w:rsid w:val="0055462E"/>
    <w:rsid w:val="005546C7"/>
    <w:rsid w:val="00554D6D"/>
    <w:rsid w:val="005554DB"/>
    <w:rsid w:val="0055685D"/>
    <w:rsid w:val="005568B8"/>
    <w:rsid w:val="0055694B"/>
    <w:rsid w:val="005569B7"/>
    <w:rsid w:val="005569E7"/>
    <w:rsid w:val="00556CB3"/>
    <w:rsid w:val="00556E7B"/>
    <w:rsid w:val="00557004"/>
    <w:rsid w:val="0055717D"/>
    <w:rsid w:val="00557261"/>
    <w:rsid w:val="0055728C"/>
    <w:rsid w:val="00557364"/>
    <w:rsid w:val="005573F7"/>
    <w:rsid w:val="005574CB"/>
    <w:rsid w:val="00557B13"/>
    <w:rsid w:val="00560030"/>
    <w:rsid w:val="00560791"/>
    <w:rsid w:val="00560A28"/>
    <w:rsid w:val="00560E1A"/>
    <w:rsid w:val="00560E56"/>
    <w:rsid w:val="00560FAF"/>
    <w:rsid w:val="0056112B"/>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7E"/>
    <w:rsid w:val="005664BF"/>
    <w:rsid w:val="005669A1"/>
    <w:rsid w:val="00566E95"/>
    <w:rsid w:val="0056725E"/>
    <w:rsid w:val="005673C1"/>
    <w:rsid w:val="0056743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54"/>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4F64"/>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27"/>
    <w:rsid w:val="005B51AB"/>
    <w:rsid w:val="005B54C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093"/>
    <w:rsid w:val="005E02CF"/>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6FCC"/>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99A"/>
    <w:rsid w:val="00603C69"/>
    <w:rsid w:val="00603E1F"/>
    <w:rsid w:val="006041BC"/>
    <w:rsid w:val="006041D2"/>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47C5E"/>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645"/>
    <w:rsid w:val="00653D47"/>
    <w:rsid w:val="00653DBB"/>
    <w:rsid w:val="00653E84"/>
    <w:rsid w:val="00653F03"/>
    <w:rsid w:val="00654258"/>
    <w:rsid w:val="006542B5"/>
    <w:rsid w:val="006543D2"/>
    <w:rsid w:val="0065444B"/>
    <w:rsid w:val="00654825"/>
    <w:rsid w:val="00654854"/>
    <w:rsid w:val="00654933"/>
    <w:rsid w:val="00654A1C"/>
    <w:rsid w:val="00654B29"/>
    <w:rsid w:val="00654B8C"/>
    <w:rsid w:val="00654D16"/>
    <w:rsid w:val="00655109"/>
    <w:rsid w:val="00655174"/>
    <w:rsid w:val="0065539B"/>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0E"/>
    <w:rsid w:val="00665062"/>
    <w:rsid w:val="00665409"/>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468"/>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767"/>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4FF2"/>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93E"/>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77"/>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73"/>
    <w:rsid w:val="006A2ED7"/>
    <w:rsid w:val="006A3436"/>
    <w:rsid w:val="006A3F91"/>
    <w:rsid w:val="006A42C2"/>
    <w:rsid w:val="006A4953"/>
    <w:rsid w:val="006A4BC4"/>
    <w:rsid w:val="006A5368"/>
    <w:rsid w:val="006A54A2"/>
    <w:rsid w:val="006A5778"/>
    <w:rsid w:val="006A5A23"/>
    <w:rsid w:val="006A5C01"/>
    <w:rsid w:val="006A5DC3"/>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5BE"/>
    <w:rsid w:val="006B77D2"/>
    <w:rsid w:val="006B7876"/>
    <w:rsid w:val="006B78FE"/>
    <w:rsid w:val="006B7A45"/>
    <w:rsid w:val="006B7C69"/>
    <w:rsid w:val="006C0083"/>
    <w:rsid w:val="006C01C6"/>
    <w:rsid w:val="006C05F3"/>
    <w:rsid w:val="006C0930"/>
    <w:rsid w:val="006C0B49"/>
    <w:rsid w:val="006C0DBA"/>
    <w:rsid w:val="006C1237"/>
    <w:rsid w:val="006C1641"/>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C6"/>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6F8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A50"/>
    <w:rsid w:val="006D0D08"/>
    <w:rsid w:val="006D0D45"/>
    <w:rsid w:val="006D0E43"/>
    <w:rsid w:val="006D0EBE"/>
    <w:rsid w:val="006D101F"/>
    <w:rsid w:val="006D1536"/>
    <w:rsid w:val="006D15F5"/>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05E"/>
    <w:rsid w:val="006D6349"/>
    <w:rsid w:val="006D6448"/>
    <w:rsid w:val="006D670B"/>
    <w:rsid w:val="006D69B5"/>
    <w:rsid w:val="006D6AB5"/>
    <w:rsid w:val="006D6C0D"/>
    <w:rsid w:val="006D6DD5"/>
    <w:rsid w:val="006D6F37"/>
    <w:rsid w:val="006D7034"/>
    <w:rsid w:val="006D70B2"/>
    <w:rsid w:val="006D7157"/>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AFE"/>
    <w:rsid w:val="006E3BDA"/>
    <w:rsid w:val="006E3C14"/>
    <w:rsid w:val="006E3C4B"/>
    <w:rsid w:val="006E3F1F"/>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D95"/>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E1B"/>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9C7"/>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5A5"/>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4F7B"/>
    <w:rsid w:val="007152AA"/>
    <w:rsid w:val="0071537C"/>
    <w:rsid w:val="00715390"/>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1E7"/>
    <w:rsid w:val="007243AD"/>
    <w:rsid w:val="0072450B"/>
    <w:rsid w:val="00724562"/>
    <w:rsid w:val="0072456D"/>
    <w:rsid w:val="007245C9"/>
    <w:rsid w:val="0072472A"/>
    <w:rsid w:val="00724837"/>
    <w:rsid w:val="007248F4"/>
    <w:rsid w:val="007249D3"/>
    <w:rsid w:val="00724BC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617"/>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585"/>
    <w:rsid w:val="007526E2"/>
    <w:rsid w:val="00752933"/>
    <w:rsid w:val="00752C7A"/>
    <w:rsid w:val="00752D5C"/>
    <w:rsid w:val="00752EE3"/>
    <w:rsid w:val="00752F1A"/>
    <w:rsid w:val="007531CB"/>
    <w:rsid w:val="0075330C"/>
    <w:rsid w:val="007533FE"/>
    <w:rsid w:val="00753520"/>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44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91"/>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335"/>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16F"/>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57E"/>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02"/>
    <w:rsid w:val="007A6D6E"/>
    <w:rsid w:val="007A6F3B"/>
    <w:rsid w:val="007A70F0"/>
    <w:rsid w:val="007A7392"/>
    <w:rsid w:val="007A76C4"/>
    <w:rsid w:val="007A7876"/>
    <w:rsid w:val="007A7AD3"/>
    <w:rsid w:val="007A7C5C"/>
    <w:rsid w:val="007A7D93"/>
    <w:rsid w:val="007A7EDD"/>
    <w:rsid w:val="007B018E"/>
    <w:rsid w:val="007B02CE"/>
    <w:rsid w:val="007B035C"/>
    <w:rsid w:val="007B06EB"/>
    <w:rsid w:val="007B07E0"/>
    <w:rsid w:val="007B08A8"/>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AD5"/>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D1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8BB"/>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95"/>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1DE"/>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3"/>
    <w:rsid w:val="007F46F6"/>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4EF"/>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B2A"/>
    <w:rsid w:val="00805D0A"/>
    <w:rsid w:val="00805FEE"/>
    <w:rsid w:val="00806087"/>
    <w:rsid w:val="008060DE"/>
    <w:rsid w:val="008067DB"/>
    <w:rsid w:val="0080691F"/>
    <w:rsid w:val="00806BB9"/>
    <w:rsid w:val="008070C5"/>
    <w:rsid w:val="00807B67"/>
    <w:rsid w:val="00807F13"/>
    <w:rsid w:val="00810071"/>
    <w:rsid w:val="00810168"/>
    <w:rsid w:val="00810214"/>
    <w:rsid w:val="0081033E"/>
    <w:rsid w:val="00810412"/>
    <w:rsid w:val="008106D6"/>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20A"/>
    <w:rsid w:val="0081759B"/>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00"/>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25A"/>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C0B"/>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3FE5"/>
    <w:rsid w:val="008943B8"/>
    <w:rsid w:val="0089453C"/>
    <w:rsid w:val="0089482E"/>
    <w:rsid w:val="00894C29"/>
    <w:rsid w:val="00894F7E"/>
    <w:rsid w:val="00895009"/>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9E4"/>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ECB"/>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F"/>
    <w:rsid w:val="008B579E"/>
    <w:rsid w:val="008B59BF"/>
    <w:rsid w:val="008B5B99"/>
    <w:rsid w:val="008B5D35"/>
    <w:rsid w:val="008B5E7C"/>
    <w:rsid w:val="008B6150"/>
    <w:rsid w:val="008B65EC"/>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8C8"/>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894"/>
    <w:rsid w:val="008D7928"/>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8D9"/>
    <w:rsid w:val="008E59EC"/>
    <w:rsid w:val="008E5B5F"/>
    <w:rsid w:val="008E66B9"/>
    <w:rsid w:val="008E6832"/>
    <w:rsid w:val="008E6A4B"/>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B1"/>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AA0"/>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C6A"/>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CC6"/>
    <w:rsid w:val="00910E3D"/>
    <w:rsid w:val="00910ED0"/>
    <w:rsid w:val="00910EEA"/>
    <w:rsid w:val="00910F81"/>
    <w:rsid w:val="00911040"/>
    <w:rsid w:val="009112A0"/>
    <w:rsid w:val="009112B4"/>
    <w:rsid w:val="00911543"/>
    <w:rsid w:val="00911609"/>
    <w:rsid w:val="009117FE"/>
    <w:rsid w:val="00911AFE"/>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A31"/>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E93"/>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996"/>
    <w:rsid w:val="00945C0C"/>
    <w:rsid w:val="00945F9D"/>
    <w:rsid w:val="009461BD"/>
    <w:rsid w:val="00946298"/>
    <w:rsid w:val="00946899"/>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739"/>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8D"/>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07"/>
    <w:rsid w:val="0097489B"/>
    <w:rsid w:val="00974966"/>
    <w:rsid w:val="0097499B"/>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93"/>
    <w:rsid w:val="00990DD1"/>
    <w:rsid w:val="0099116C"/>
    <w:rsid w:val="009911A6"/>
    <w:rsid w:val="009913BD"/>
    <w:rsid w:val="009914F4"/>
    <w:rsid w:val="009915D2"/>
    <w:rsid w:val="009918DE"/>
    <w:rsid w:val="00991AF2"/>
    <w:rsid w:val="00991B46"/>
    <w:rsid w:val="00991CE0"/>
    <w:rsid w:val="00991E8E"/>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45"/>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837"/>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4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4F97"/>
    <w:rsid w:val="009C50EC"/>
    <w:rsid w:val="009C529D"/>
    <w:rsid w:val="009C53D9"/>
    <w:rsid w:val="009C57CC"/>
    <w:rsid w:val="009C5D22"/>
    <w:rsid w:val="009C5DA7"/>
    <w:rsid w:val="009C5E0F"/>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3E8C"/>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96F"/>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8C6"/>
    <w:rsid w:val="009F09DA"/>
    <w:rsid w:val="009F0BD7"/>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92"/>
    <w:rsid w:val="009F52B1"/>
    <w:rsid w:val="009F55D5"/>
    <w:rsid w:val="009F5803"/>
    <w:rsid w:val="009F6287"/>
    <w:rsid w:val="009F6450"/>
    <w:rsid w:val="009F64A9"/>
    <w:rsid w:val="009F65C5"/>
    <w:rsid w:val="009F65F5"/>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686"/>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6DF"/>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984"/>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961"/>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78A"/>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8B7"/>
    <w:rsid w:val="00A53B1F"/>
    <w:rsid w:val="00A53BC8"/>
    <w:rsid w:val="00A53C1F"/>
    <w:rsid w:val="00A53ECC"/>
    <w:rsid w:val="00A53F48"/>
    <w:rsid w:val="00A540E6"/>
    <w:rsid w:val="00A54380"/>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2AE"/>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3DB"/>
    <w:rsid w:val="00A7043D"/>
    <w:rsid w:val="00A705FF"/>
    <w:rsid w:val="00A70720"/>
    <w:rsid w:val="00A7078F"/>
    <w:rsid w:val="00A70802"/>
    <w:rsid w:val="00A70C88"/>
    <w:rsid w:val="00A70DA3"/>
    <w:rsid w:val="00A71060"/>
    <w:rsid w:val="00A713E5"/>
    <w:rsid w:val="00A714AE"/>
    <w:rsid w:val="00A7169D"/>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F79"/>
    <w:rsid w:val="00A862F9"/>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083"/>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B68"/>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24"/>
    <w:rsid w:val="00AC30AA"/>
    <w:rsid w:val="00AC329C"/>
    <w:rsid w:val="00AC32AC"/>
    <w:rsid w:val="00AC35AF"/>
    <w:rsid w:val="00AC360E"/>
    <w:rsid w:val="00AC3688"/>
    <w:rsid w:val="00AC3841"/>
    <w:rsid w:val="00AC384A"/>
    <w:rsid w:val="00AC409B"/>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8C2"/>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05B"/>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E3D"/>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8FD"/>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318"/>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1A1"/>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579"/>
    <w:rsid w:val="00B43A30"/>
    <w:rsid w:val="00B43CB4"/>
    <w:rsid w:val="00B43EC2"/>
    <w:rsid w:val="00B44132"/>
    <w:rsid w:val="00B45016"/>
    <w:rsid w:val="00B452E7"/>
    <w:rsid w:val="00B45AC4"/>
    <w:rsid w:val="00B45C18"/>
    <w:rsid w:val="00B45D67"/>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D30"/>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D3"/>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4D4"/>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33"/>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3F4"/>
    <w:rsid w:val="00B95A0D"/>
    <w:rsid w:val="00B95CB0"/>
    <w:rsid w:val="00B95E7A"/>
    <w:rsid w:val="00B9670B"/>
    <w:rsid w:val="00B96847"/>
    <w:rsid w:val="00B96866"/>
    <w:rsid w:val="00B968A1"/>
    <w:rsid w:val="00B968A6"/>
    <w:rsid w:val="00B968DC"/>
    <w:rsid w:val="00B969D8"/>
    <w:rsid w:val="00B96A7C"/>
    <w:rsid w:val="00B96BD9"/>
    <w:rsid w:val="00B96E4E"/>
    <w:rsid w:val="00B96EB9"/>
    <w:rsid w:val="00B96F90"/>
    <w:rsid w:val="00B97200"/>
    <w:rsid w:val="00B97B5A"/>
    <w:rsid w:val="00B97D7E"/>
    <w:rsid w:val="00B97EB8"/>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0CD"/>
    <w:rsid w:val="00BA52EC"/>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099F"/>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2C6"/>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1F6E"/>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1E"/>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D6"/>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2F9D"/>
    <w:rsid w:val="00C23032"/>
    <w:rsid w:val="00C231E7"/>
    <w:rsid w:val="00C235CF"/>
    <w:rsid w:val="00C238AD"/>
    <w:rsid w:val="00C2395B"/>
    <w:rsid w:val="00C23A59"/>
    <w:rsid w:val="00C23CFA"/>
    <w:rsid w:val="00C23D49"/>
    <w:rsid w:val="00C24130"/>
    <w:rsid w:val="00C2448E"/>
    <w:rsid w:val="00C2466D"/>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4BF1"/>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37FCD"/>
    <w:rsid w:val="00C40474"/>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B0"/>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6E9F"/>
    <w:rsid w:val="00C57176"/>
    <w:rsid w:val="00C57284"/>
    <w:rsid w:val="00C573A2"/>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89A"/>
    <w:rsid w:val="00C64990"/>
    <w:rsid w:val="00C64C14"/>
    <w:rsid w:val="00C65084"/>
    <w:rsid w:val="00C65430"/>
    <w:rsid w:val="00C65811"/>
    <w:rsid w:val="00C6597F"/>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9D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4A6"/>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60"/>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21E"/>
    <w:rsid w:val="00CA5422"/>
    <w:rsid w:val="00CA5446"/>
    <w:rsid w:val="00CA5455"/>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69A"/>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DE"/>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E5"/>
    <w:rsid w:val="00CC72A7"/>
    <w:rsid w:val="00CC75F5"/>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6BD"/>
    <w:rsid w:val="00CD37C7"/>
    <w:rsid w:val="00CD38B8"/>
    <w:rsid w:val="00CD3964"/>
    <w:rsid w:val="00CD39DD"/>
    <w:rsid w:val="00CD3A7D"/>
    <w:rsid w:val="00CD3BB7"/>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32E"/>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2F"/>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C73"/>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3C86"/>
    <w:rsid w:val="00D04089"/>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C0B"/>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60B"/>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BF"/>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13"/>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BCC"/>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37C"/>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5B3"/>
    <w:rsid w:val="00D747B8"/>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550"/>
    <w:rsid w:val="00D8495A"/>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1EA"/>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6E17"/>
    <w:rsid w:val="00DB7305"/>
    <w:rsid w:val="00DB7380"/>
    <w:rsid w:val="00DB73F7"/>
    <w:rsid w:val="00DB74E2"/>
    <w:rsid w:val="00DB7520"/>
    <w:rsid w:val="00DB792B"/>
    <w:rsid w:val="00DB7951"/>
    <w:rsid w:val="00DB7984"/>
    <w:rsid w:val="00DB7AE1"/>
    <w:rsid w:val="00DB7C37"/>
    <w:rsid w:val="00DC011A"/>
    <w:rsid w:val="00DC04E2"/>
    <w:rsid w:val="00DC05E7"/>
    <w:rsid w:val="00DC06EB"/>
    <w:rsid w:val="00DC0763"/>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A56"/>
    <w:rsid w:val="00DC5B1B"/>
    <w:rsid w:val="00DC5C5E"/>
    <w:rsid w:val="00DC5F66"/>
    <w:rsid w:val="00DC632E"/>
    <w:rsid w:val="00DC6397"/>
    <w:rsid w:val="00DC651D"/>
    <w:rsid w:val="00DC6793"/>
    <w:rsid w:val="00DC6A2B"/>
    <w:rsid w:val="00DC6A8D"/>
    <w:rsid w:val="00DC6AF9"/>
    <w:rsid w:val="00DC6BDE"/>
    <w:rsid w:val="00DC6CE1"/>
    <w:rsid w:val="00DC6D5F"/>
    <w:rsid w:val="00DC6F66"/>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1B2"/>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C9"/>
    <w:rsid w:val="00DE4BF5"/>
    <w:rsid w:val="00DE4E3C"/>
    <w:rsid w:val="00DE4F23"/>
    <w:rsid w:val="00DE5003"/>
    <w:rsid w:val="00DE5027"/>
    <w:rsid w:val="00DE530C"/>
    <w:rsid w:val="00DE5506"/>
    <w:rsid w:val="00DE583B"/>
    <w:rsid w:val="00DE5CD8"/>
    <w:rsid w:val="00DE5CF6"/>
    <w:rsid w:val="00DE60A2"/>
    <w:rsid w:val="00DE621A"/>
    <w:rsid w:val="00DE6322"/>
    <w:rsid w:val="00DE6571"/>
    <w:rsid w:val="00DE6748"/>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245"/>
    <w:rsid w:val="00DF0403"/>
    <w:rsid w:val="00DF0459"/>
    <w:rsid w:val="00DF052C"/>
    <w:rsid w:val="00DF086E"/>
    <w:rsid w:val="00DF0959"/>
    <w:rsid w:val="00DF09EB"/>
    <w:rsid w:val="00DF0DD2"/>
    <w:rsid w:val="00DF0DF8"/>
    <w:rsid w:val="00DF0E3C"/>
    <w:rsid w:val="00DF0E5A"/>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00"/>
    <w:rsid w:val="00DF7F76"/>
    <w:rsid w:val="00DF7FAD"/>
    <w:rsid w:val="00E0009D"/>
    <w:rsid w:val="00E000D4"/>
    <w:rsid w:val="00E0025E"/>
    <w:rsid w:val="00E0046E"/>
    <w:rsid w:val="00E005DF"/>
    <w:rsid w:val="00E00689"/>
    <w:rsid w:val="00E0095F"/>
    <w:rsid w:val="00E00B6D"/>
    <w:rsid w:val="00E00CF9"/>
    <w:rsid w:val="00E00F83"/>
    <w:rsid w:val="00E010A9"/>
    <w:rsid w:val="00E0122D"/>
    <w:rsid w:val="00E018A9"/>
    <w:rsid w:val="00E0195E"/>
    <w:rsid w:val="00E01FE4"/>
    <w:rsid w:val="00E02351"/>
    <w:rsid w:val="00E026AF"/>
    <w:rsid w:val="00E02710"/>
    <w:rsid w:val="00E02974"/>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0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169"/>
    <w:rsid w:val="00E2062E"/>
    <w:rsid w:val="00E207D2"/>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D38"/>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5FDC"/>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63"/>
    <w:rsid w:val="00E407F5"/>
    <w:rsid w:val="00E40BC7"/>
    <w:rsid w:val="00E40CE1"/>
    <w:rsid w:val="00E40E38"/>
    <w:rsid w:val="00E4149A"/>
    <w:rsid w:val="00E41610"/>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CCA"/>
    <w:rsid w:val="00E42DFF"/>
    <w:rsid w:val="00E42E34"/>
    <w:rsid w:val="00E42E53"/>
    <w:rsid w:val="00E43029"/>
    <w:rsid w:val="00E434C7"/>
    <w:rsid w:val="00E43703"/>
    <w:rsid w:val="00E43870"/>
    <w:rsid w:val="00E438D3"/>
    <w:rsid w:val="00E43A21"/>
    <w:rsid w:val="00E43BF2"/>
    <w:rsid w:val="00E440FA"/>
    <w:rsid w:val="00E44AD6"/>
    <w:rsid w:val="00E454D5"/>
    <w:rsid w:val="00E4550F"/>
    <w:rsid w:val="00E45800"/>
    <w:rsid w:val="00E45A62"/>
    <w:rsid w:val="00E45BCC"/>
    <w:rsid w:val="00E45DFA"/>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AB"/>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9EE"/>
    <w:rsid w:val="00E55AA2"/>
    <w:rsid w:val="00E55B19"/>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2DB"/>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A95"/>
    <w:rsid w:val="00E91C67"/>
    <w:rsid w:val="00E91C6C"/>
    <w:rsid w:val="00E91EA0"/>
    <w:rsid w:val="00E92279"/>
    <w:rsid w:val="00E92556"/>
    <w:rsid w:val="00E9272E"/>
    <w:rsid w:val="00E92935"/>
    <w:rsid w:val="00E92E12"/>
    <w:rsid w:val="00E92F35"/>
    <w:rsid w:val="00E93F0D"/>
    <w:rsid w:val="00E93F66"/>
    <w:rsid w:val="00E941E4"/>
    <w:rsid w:val="00E94397"/>
    <w:rsid w:val="00E94474"/>
    <w:rsid w:val="00E94522"/>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16"/>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400"/>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46"/>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56F"/>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4D"/>
    <w:rsid w:val="00EB6996"/>
    <w:rsid w:val="00EB727E"/>
    <w:rsid w:val="00EB742C"/>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4D30"/>
    <w:rsid w:val="00EC5384"/>
    <w:rsid w:val="00EC55BA"/>
    <w:rsid w:val="00EC5621"/>
    <w:rsid w:val="00EC5D09"/>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58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4FD9"/>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3A"/>
    <w:rsid w:val="00EE7A64"/>
    <w:rsid w:val="00EE7E48"/>
    <w:rsid w:val="00EE7E55"/>
    <w:rsid w:val="00EF0039"/>
    <w:rsid w:val="00EF0040"/>
    <w:rsid w:val="00EF03DD"/>
    <w:rsid w:val="00EF0571"/>
    <w:rsid w:val="00EF066F"/>
    <w:rsid w:val="00EF07E4"/>
    <w:rsid w:val="00EF0929"/>
    <w:rsid w:val="00EF09AA"/>
    <w:rsid w:val="00EF0B76"/>
    <w:rsid w:val="00EF0C1E"/>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4914"/>
    <w:rsid w:val="00EF5050"/>
    <w:rsid w:val="00EF5147"/>
    <w:rsid w:val="00EF5525"/>
    <w:rsid w:val="00EF5710"/>
    <w:rsid w:val="00EF5D63"/>
    <w:rsid w:val="00EF5DB8"/>
    <w:rsid w:val="00EF5E36"/>
    <w:rsid w:val="00EF60AF"/>
    <w:rsid w:val="00EF66D2"/>
    <w:rsid w:val="00EF6730"/>
    <w:rsid w:val="00EF67D2"/>
    <w:rsid w:val="00EF6B77"/>
    <w:rsid w:val="00EF6FFE"/>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0C6"/>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04B"/>
    <w:rsid w:val="00F2536F"/>
    <w:rsid w:val="00F253E3"/>
    <w:rsid w:val="00F2548C"/>
    <w:rsid w:val="00F25826"/>
    <w:rsid w:val="00F25888"/>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A8F"/>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AB"/>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0B4"/>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3A8"/>
    <w:rsid w:val="00F73624"/>
    <w:rsid w:val="00F7382E"/>
    <w:rsid w:val="00F73AE3"/>
    <w:rsid w:val="00F73C89"/>
    <w:rsid w:val="00F73EBE"/>
    <w:rsid w:val="00F73EEA"/>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06A"/>
    <w:rsid w:val="00FA22F8"/>
    <w:rsid w:val="00FA2546"/>
    <w:rsid w:val="00FA26CA"/>
    <w:rsid w:val="00FA2AB3"/>
    <w:rsid w:val="00FA2B04"/>
    <w:rsid w:val="00FA2B5F"/>
    <w:rsid w:val="00FA2BDC"/>
    <w:rsid w:val="00FA30D7"/>
    <w:rsid w:val="00FA32D6"/>
    <w:rsid w:val="00FA32DF"/>
    <w:rsid w:val="00FA3357"/>
    <w:rsid w:val="00FA34F4"/>
    <w:rsid w:val="00FA36E7"/>
    <w:rsid w:val="00FA372C"/>
    <w:rsid w:val="00FA3779"/>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D12"/>
    <w:rsid w:val="00FB1E09"/>
    <w:rsid w:val="00FB1F92"/>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C36"/>
    <w:rsid w:val="00FC5D5B"/>
    <w:rsid w:val="00FC5EF0"/>
    <w:rsid w:val="00FC6017"/>
    <w:rsid w:val="00FC61E0"/>
    <w:rsid w:val="00FC6294"/>
    <w:rsid w:val="00FC63AA"/>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96B"/>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08B1"/>
    <w:pPr>
      <w:spacing w:after="120"/>
    </w:pPr>
    <w:rPr>
      <w:rFonts w:ascii="Times New Roman" w:eastAsia="Calibri Light" w:hAnsi="Times New Roman"/>
      <w:lang w:val="en-GB" w:eastAsia="en-US"/>
    </w:rPr>
  </w:style>
  <w:style w:type="paragraph" w:styleId="1">
    <w:name w:val="heading 1"/>
    <w:aliases w:val="H1"/>
    <w:next w:val="a0"/>
    <w:link w:val="1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aliases w:val="DO NOT USE_h2,h2,h21,2,Header 2,Header2,22,heading2,H2,2nd level,UNDERRUBRIK 1-2,H21,H22,H23,H24,H25,R2,E2,†berschrift 2,õberschrift 2,Head2A"/>
    <w:basedOn w:val="1"/>
    <w:next w:val="a0"/>
    <w:link w:val="20"/>
    <w:qFormat/>
    <w:rsid w:val="00D13DD9"/>
    <w:pPr>
      <w:pBdr>
        <w:top w:val="none" w:sz="0" w:space="0" w:color="auto"/>
      </w:pBdr>
      <w:spacing w:before="160" w:after="120"/>
      <w:outlineLvl w:val="1"/>
    </w:pPr>
    <w:rPr>
      <w:sz w:val="28"/>
      <w:szCs w:val="28"/>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aliases w:val="Figure Heading,FH"/>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a7"/>
    <w:uiPriority w:val="99"/>
    <w:rsid w:val="00090454"/>
    <w:pPr>
      <w:widowControl w:val="0"/>
    </w:pPr>
    <w:rPr>
      <w:rFonts w:ascii="inherit" w:eastAsia="Arial" w:hAnsi="inherit" w:cs="inherit"/>
      <w:b/>
      <w:noProof/>
      <w:color w:val="0000FF"/>
      <w:kern w:val="2"/>
      <w:sz w:val="18"/>
      <w:lang w:val="en-GB" w:eastAsia="en-US"/>
    </w:rPr>
  </w:style>
  <w:style w:type="character" w:styleId="a8">
    <w:name w:val="footnote reference"/>
    <w:semiHidden/>
    <w:rsid w:val="00090454"/>
    <w:rPr>
      <w:rFonts w:ascii="inherit" w:eastAsia="Arial" w:hAnsi="inherit" w:cs="inherit"/>
      <w:b/>
      <w:color w:val="0000FF"/>
      <w:kern w:val="2"/>
      <w:position w:val="6"/>
      <w:sz w:val="16"/>
      <w:lang w:val="en-US" w:eastAsia="zh-CN" w:bidi="ar-SA"/>
    </w:rPr>
  </w:style>
  <w:style w:type="paragraph" w:styleId="a9">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link w:val="TACChar"/>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qFormat/>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a0"/>
    <w:semiHidden/>
    <w:rsid w:val="00090454"/>
    <w:pPr>
      <w:ind w:left="1985" w:hanging="1985"/>
    </w:pPr>
  </w:style>
  <w:style w:type="paragraph" w:styleId="TOC7">
    <w:name w:val="toc 7"/>
    <w:basedOn w:val="TOC6"/>
    <w:next w:val="a0"/>
    <w:semiHidden/>
    <w:rsid w:val="00090454"/>
    <w:pPr>
      <w:ind w:left="2268" w:hanging="2268"/>
    </w:pPr>
  </w:style>
  <w:style w:type="paragraph" w:styleId="23">
    <w:name w:val="List Bullet 2"/>
    <w:basedOn w:val="aa"/>
    <w:semiHidden/>
    <w:rsid w:val="00090454"/>
    <w:pPr>
      <w:ind w:left="851"/>
    </w:pPr>
  </w:style>
  <w:style w:type="paragraph" w:styleId="aa">
    <w:name w:val="List Bullet"/>
    <w:basedOn w:val="a5"/>
    <w:semiHidden/>
    <w:rsid w:val="00090454"/>
  </w:style>
  <w:style w:type="paragraph" w:styleId="31">
    <w:name w:val="List Bullet 3"/>
    <w:basedOn w:val="23"/>
    <w:semiHidden/>
    <w:rsid w:val="00090454"/>
    <w:pPr>
      <w:ind w:left="1135"/>
    </w:pPr>
  </w:style>
  <w:style w:type="paragraph" w:customStyle="1" w:styleId="EQ">
    <w:name w:val="EQ"/>
    <w:basedOn w:val="a0"/>
    <w:next w:val="a0"/>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2">
    <w:name w:val="List 3"/>
    <w:basedOn w:val="24"/>
    <w:semiHidden/>
    <w:rsid w:val="00090454"/>
    <w:pPr>
      <w:ind w:left="1135"/>
    </w:pPr>
  </w:style>
  <w:style w:type="paragraph" w:styleId="41">
    <w:name w:val="List 4"/>
    <w:basedOn w:val="32"/>
    <w:semiHidden/>
    <w:rsid w:val="00090454"/>
    <w:pPr>
      <w:ind w:left="1418"/>
    </w:pPr>
  </w:style>
  <w:style w:type="paragraph" w:styleId="51">
    <w:name w:val="List 5"/>
    <w:basedOn w:val="41"/>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2">
    <w:name w:val="List Bullet 4"/>
    <w:basedOn w:val="31"/>
    <w:semiHidden/>
    <w:rsid w:val="00090454"/>
    <w:pPr>
      <w:ind w:left="1418"/>
    </w:pPr>
  </w:style>
  <w:style w:type="paragraph" w:styleId="52">
    <w:name w:val="List Bullet 5"/>
    <w:basedOn w:val="42"/>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2"/>
    <w:link w:val="B3Char2"/>
    <w:qFormat/>
    <w:rsid w:val="00090454"/>
    <w:rPr>
      <w:rFonts w:ascii="inherit" w:eastAsia="Arial" w:hAnsi="inherit" w:cs="inherit"/>
      <w:color w:val="0000FF"/>
      <w:kern w:val="2"/>
    </w:rPr>
  </w:style>
  <w:style w:type="paragraph" w:customStyle="1" w:styleId="B4">
    <w:name w:val="B4"/>
    <w:basedOn w:val="41"/>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51"/>
    <w:semiHidden/>
    <w:rsid w:val="00090454"/>
  </w:style>
  <w:style w:type="paragraph" w:styleId="ab">
    <w:name w:val="footer"/>
    <w:basedOn w:val="a6"/>
    <w:link w:val="ac"/>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d">
    <w:name w:val="Hyperlink"/>
    <w:uiPriority w:val="99"/>
    <w:semiHidden/>
    <w:rsid w:val="00090454"/>
    <w:rPr>
      <w:rFonts w:ascii="inherit" w:eastAsia="Arial" w:hAnsi="inherit" w:cs="inherit"/>
      <w:color w:val="0000FF"/>
      <w:kern w:val="2"/>
      <w:u w:val="single"/>
      <w:lang w:val="en-US" w:eastAsia="zh-CN" w:bidi="ar-SA"/>
    </w:rPr>
  </w:style>
  <w:style w:type="character" w:styleId="ae">
    <w:name w:val="annotation reference"/>
    <w:qFormat/>
    <w:rsid w:val="00090454"/>
    <w:rPr>
      <w:rFonts w:ascii="inherit" w:eastAsia="Arial" w:hAnsi="inherit" w:cs="inherit"/>
      <w:color w:val="0000FF"/>
      <w:kern w:val="2"/>
      <w:sz w:val="16"/>
      <w:lang w:val="en-US" w:eastAsia="zh-CN" w:bidi="ar-SA"/>
    </w:rPr>
  </w:style>
  <w:style w:type="paragraph" w:styleId="af">
    <w:name w:val="annotation text"/>
    <w:basedOn w:val="a0"/>
    <w:link w:val="af0"/>
    <w:qFormat/>
    <w:rsid w:val="00090454"/>
    <w:rPr>
      <w:rFonts w:cs="Times New Roman"/>
    </w:rPr>
  </w:style>
  <w:style w:type="character" w:styleId="af1">
    <w:name w:val="FollowedHyperlink"/>
    <w:semiHidden/>
    <w:rsid w:val="00090454"/>
    <w:rPr>
      <w:rFonts w:ascii="inherit" w:eastAsia="Arial" w:hAnsi="inherit" w:cs="inherit"/>
      <w:color w:val="0000FF"/>
      <w:kern w:val="2"/>
      <w:u w:val="single"/>
      <w:lang w:val="en-US" w:eastAsia="zh-CN" w:bidi="ar-SA"/>
    </w:rPr>
  </w:style>
  <w:style w:type="paragraph" w:styleId="af2">
    <w:name w:val="Balloon Text"/>
    <w:basedOn w:val="a0"/>
    <w:semiHidden/>
    <w:rsid w:val="00090454"/>
    <w:rPr>
      <w:rFonts w:ascii="Arial" w:hAnsi="Arial" w:cs="Arial"/>
      <w:sz w:val="16"/>
      <w:szCs w:val="16"/>
    </w:rPr>
  </w:style>
  <w:style w:type="paragraph" w:styleId="af3">
    <w:name w:val="annotation subject"/>
    <w:basedOn w:val="af"/>
    <w:next w:val="af"/>
    <w:semiHidden/>
    <w:rsid w:val="00090454"/>
    <w:rPr>
      <w:b/>
      <w:bCs/>
    </w:rPr>
  </w:style>
  <w:style w:type="paragraph" w:styleId="af4">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5">
    <w:name w:val="Table Grid"/>
    <w:aliases w:val="TableGrid,ST Table,Check(v),Table-Text,x Tableau page de garde"/>
    <w:basedOn w:val="a2"/>
    <w:uiPriority w:val="39"/>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6">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7">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8">
    <w:name w:val="Emphasis"/>
    <w:uiPriority w:val="20"/>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9">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a">
    <w:name w:val="Title"/>
    <w:basedOn w:val="a0"/>
    <w:qFormat/>
    <w:rsid w:val="006B0C73"/>
    <w:pPr>
      <w:spacing w:before="240" w:after="60"/>
      <w:jc w:val="center"/>
      <w:outlineLvl w:val="0"/>
    </w:pPr>
    <w:rPr>
      <w:rFonts w:ascii="inherit" w:eastAsia="Arial" w:hAnsi="inherit" w:cs="inherit"/>
      <w:b/>
      <w:bCs/>
      <w:sz w:val="32"/>
      <w:szCs w:val="32"/>
    </w:rPr>
  </w:style>
  <w:style w:type="table" w:styleId="afb">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c">
    <w:name w:val="Salutation"/>
    <w:basedOn w:val="a0"/>
    <w:next w:val="a0"/>
    <w:semiHidden/>
    <w:rsid w:val="006B0C73"/>
  </w:style>
  <w:style w:type="paragraph" w:styleId="afd">
    <w:name w:val="Plain Text"/>
    <w:basedOn w:val="a0"/>
    <w:semiHidden/>
    <w:rsid w:val="006B0C73"/>
    <w:rPr>
      <w:rFonts w:ascii="Arial" w:eastAsia="Arial" w:hAnsi="inherit" w:cs="inherit"/>
      <w:sz w:val="21"/>
      <w:szCs w:val="21"/>
    </w:rPr>
  </w:style>
  <w:style w:type="table" w:styleId="afe">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
    <w:name w:val="E-mail Signature"/>
    <w:basedOn w:val="a0"/>
    <w:semiHidden/>
    <w:rsid w:val="006B0C73"/>
  </w:style>
  <w:style w:type="paragraph" w:styleId="aff0">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1">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3">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7">
    <w:name w:val="List Continue 3"/>
    <w:basedOn w:val="a0"/>
    <w:semiHidden/>
    <w:rsid w:val="006B0C73"/>
    <w:pPr>
      <w:ind w:leftChars="600" w:left="1260"/>
    </w:pPr>
  </w:style>
  <w:style w:type="paragraph" w:styleId="44">
    <w:name w:val="List Continue 4"/>
    <w:basedOn w:val="a0"/>
    <w:semiHidden/>
    <w:rsid w:val="006B0C73"/>
    <w:pPr>
      <w:ind w:leftChars="800" w:left="1680"/>
    </w:pPr>
  </w:style>
  <w:style w:type="paragraph" w:styleId="53">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0">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4">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5">
    <w:name w:val="Normal (Web)"/>
    <w:basedOn w:val="a0"/>
    <w:uiPriority w:val="99"/>
    <w:rsid w:val="006B0C73"/>
    <w:rPr>
      <w:sz w:val="24"/>
      <w:szCs w:val="24"/>
    </w:rPr>
  </w:style>
  <w:style w:type="paragraph" w:styleId="aff6">
    <w:name w:val="Signature"/>
    <w:basedOn w:val="a0"/>
    <w:semiHidden/>
    <w:rsid w:val="006B0C73"/>
    <w:pPr>
      <w:ind w:leftChars="2100" w:left="100"/>
    </w:pPr>
  </w:style>
  <w:style w:type="paragraph" w:styleId="aff7">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7">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8">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9">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a">
    <w:name w:val="line number"/>
    <w:basedOn w:val="a1"/>
    <w:semiHidden/>
    <w:rsid w:val="006B0C73"/>
  </w:style>
  <w:style w:type="character" w:styleId="affb">
    <w:name w:val="Strong"/>
    <w:uiPriority w:val="22"/>
    <w:qFormat/>
    <w:rsid w:val="006B0C73"/>
    <w:rPr>
      <w:rFonts w:ascii="inherit" w:eastAsia="Arial" w:hAnsi="inherit" w:cs="inherit"/>
      <w:b/>
      <w:bCs/>
      <w:color w:val="0000FF"/>
      <w:kern w:val="2"/>
      <w:lang w:val="en-US" w:eastAsia="zh-CN" w:bidi="ar-SA"/>
    </w:rPr>
  </w:style>
  <w:style w:type="character" w:styleId="affc">
    <w:name w:val="page number"/>
    <w:basedOn w:val="a1"/>
    <w:semiHidden/>
    <w:rsid w:val="006B0C73"/>
  </w:style>
  <w:style w:type="paragraph" w:styleId="affd">
    <w:name w:val="Body Text First Indent"/>
    <w:basedOn w:val="af7"/>
    <w:semiHidden/>
    <w:rsid w:val="006B0C73"/>
    <w:pPr>
      <w:ind w:firstLineChars="100" w:firstLine="420"/>
      <w:jc w:val="left"/>
    </w:pPr>
    <w:rPr>
      <w:szCs w:val="20"/>
      <w:lang w:val="en-GB"/>
    </w:rPr>
  </w:style>
  <w:style w:type="paragraph" w:styleId="affe">
    <w:name w:val="Body Text Indent"/>
    <w:basedOn w:val="a0"/>
    <w:semiHidden/>
    <w:rsid w:val="006B0C73"/>
    <w:pPr>
      <w:ind w:leftChars="200" w:left="420"/>
    </w:pPr>
  </w:style>
  <w:style w:type="paragraph" w:styleId="2f">
    <w:name w:val="Body Text First Indent 2"/>
    <w:basedOn w:val="affe"/>
    <w:semiHidden/>
    <w:rsid w:val="006B0C73"/>
    <w:pPr>
      <w:ind w:firstLineChars="200" w:firstLine="420"/>
    </w:pPr>
  </w:style>
  <w:style w:type="paragraph" w:styleId="afff">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c">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d">
    <w:name w:val="Body Text Indent 3"/>
    <w:basedOn w:val="a0"/>
    <w:semiHidden/>
    <w:rsid w:val="006B0C73"/>
    <w:pPr>
      <w:ind w:leftChars="200" w:left="420"/>
    </w:pPr>
    <w:rPr>
      <w:sz w:val="16"/>
      <w:szCs w:val="16"/>
    </w:rPr>
  </w:style>
  <w:style w:type="paragraph" w:styleId="afff0">
    <w:name w:val="Note Heading"/>
    <w:basedOn w:val="a0"/>
    <w:next w:val="a0"/>
    <w:semiHidden/>
    <w:rsid w:val="006B0C73"/>
    <w:pPr>
      <w:jc w:val="center"/>
    </w:pPr>
  </w:style>
  <w:style w:type="table" w:styleId="afff1">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f"/>
    <w:next w:val="af"/>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6261AE"/>
    <w:rPr>
      <w:rFonts w:ascii="inherit" w:eastAsia="Arial" w:hAnsi="inherit" w:cs="inherit"/>
      <w:b/>
      <w:noProof/>
      <w:color w:val="0000FF"/>
      <w:kern w:val="2"/>
      <w:sz w:val="18"/>
      <w:lang w:val="en-GB" w:eastAsia="en-US" w:bidi="ar-SA"/>
    </w:rPr>
  </w:style>
  <w:style w:type="paragraph" w:styleId="aff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出段落,列"/>
    <w:basedOn w:val="a0"/>
    <w:link w:val="afff3"/>
    <w:uiPriority w:val="99"/>
    <w:qFormat/>
    <w:rsid w:val="00F40600"/>
    <w:pPr>
      <w:ind w:firstLineChars="200" w:firstLine="420"/>
    </w:pPr>
    <w:rPr>
      <w:rFonts w:cs="inherit"/>
      <w:color w:val="000000" w:themeColor="text1"/>
      <w:kern w:val="2"/>
    </w:rPr>
  </w:style>
  <w:style w:type="paragraph" w:styleId="afff4">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fff5">
    <w:name w:val="编写建议"/>
    <w:basedOn w:val="a0"/>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fff5"/>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qFormat/>
    <w:rsid w:val="00E63044"/>
    <w:rPr>
      <w:lang w:val="en-GB" w:eastAsia="ko-KR" w:bidi="ar-SA"/>
    </w:rPr>
  </w:style>
  <w:style w:type="character" w:customStyle="1" w:styleId="af0">
    <w:name w:val="批注文字 字符"/>
    <w:link w:val="af"/>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qFormat/>
    <w:rsid w:val="006B1D02"/>
    <w:rPr>
      <w:rFonts w:ascii="inherit" w:eastAsia="Calibri Light" w:hAnsi="inherit"/>
      <w:b/>
      <w:sz w:val="22"/>
      <w:lang w:val="en-GB" w:eastAsia="en-US"/>
    </w:rPr>
  </w:style>
  <w:style w:type="character" w:customStyle="1" w:styleId="aff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2"/>
    <w:uiPriority w:val="99"/>
    <w:qFormat/>
    <w:locked/>
    <w:rsid w:val="00F40600"/>
    <w:rPr>
      <w:rFonts w:ascii="Times New Roman" w:eastAsia="Calibri Light" w:hAnsi="Times New Roman" w:cs="inherit"/>
      <w:color w:val="000000" w:themeColor="text1"/>
      <w:kern w:val="2"/>
      <w:lang w:val="en-GB" w:eastAsia="en-US"/>
    </w:rPr>
  </w:style>
  <w:style w:type="character" w:customStyle="1" w:styleId="afff6">
    <w:name w:val="首标题"/>
    <w:rsid w:val="00D065BF"/>
    <w:rPr>
      <w:rFonts w:ascii="inherit" w:eastAsia="Arial" w:hAnsi="inherit"/>
      <w:sz w:val="24"/>
    </w:rPr>
  </w:style>
  <w:style w:type="character" w:customStyle="1" w:styleId="ac">
    <w:name w:val="页脚 字符"/>
    <w:link w:val="ab"/>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5"/>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0">
    <w:name w:val="标题 1 字符"/>
    <w:aliases w:val="H1 字符"/>
    <w:basedOn w:val="a1"/>
    <w:link w:val="1"/>
    <w:rsid w:val="00C94E78"/>
    <w:rPr>
      <w:rFonts w:ascii="inherit" w:hAnsi="inherit"/>
      <w:sz w:val="36"/>
      <w:lang w:val="en-GB" w:eastAsia="en-US"/>
    </w:rPr>
  </w:style>
  <w:style w:type="table" w:customStyle="1" w:styleId="2f2">
    <w:name w:val="网格型2"/>
    <w:basedOn w:val="a2"/>
    <w:next w:val="af5"/>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2"/>
    <w:next w:val="af5"/>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 w:type="character" w:customStyle="1" w:styleId="TACChar">
    <w:name w:val="TAC Char"/>
    <w:link w:val="TAC"/>
    <w:rsid w:val="00E45DFA"/>
    <w:rPr>
      <w:rFonts w:ascii="inherit" w:eastAsia="Arial" w:hAnsi="inherit" w:cs="inherit"/>
      <w:color w:val="0000FF"/>
      <w:kern w:val="2"/>
      <w:sz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7D5795"/>
    <w:rPr>
      <w:rFonts w:ascii="inherit" w:hAnsi="inherit"/>
      <w:sz w:val="28"/>
      <w:szCs w:val="28"/>
      <w:lang w:val="en-GB" w:eastAsia="en-US"/>
    </w:rPr>
  </w:style>
  <w:style w:type="character" w:customStyle="1" w:styleId="normaltextrun">
    <w:name w:val="normaltextrun"/>
    <w:basedOn w:val="a1"/>
    <w:rsid w:val="00A703DB"/>
  </w:style>
  <w:style w:type="character" w:customStyle="1" w:styleId="wacimagecontainer">
    <w:name w:val="wacimagecontainer"/>
    <w:basedOn w:val="a1"/>
    <w:rsid w:val="00647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29232289">
      <w:bodyDiv w:val="1"/>
      <w:marLeft w:val="0"/>
      <w:marRight w:val="0"/>
      <w:marTop w:val="0"/>
      <w:marBottom w:val="0"/>
      <w:divBdr>
        <w:top w:val="none" w:sz="0" w:space="0" w:color="auto"/>
        <w:left w:val="none" w:sz="0" w:space="0" w:color="auto"/>
        <w:bottom w:val="none" w:sz="0" w:space="0" w:color="auto"/>
        <w:right w:val="none" w:sz="0" w:space="0" w:color="auto"/>
      </w:divBdr>
      <w:divsChild>
        <w:div w:id="1013455726">
          <w:marLeft w:val="965"/>
          <w:marRight w:val="0"/>
          <w:marTop w:val="0"/>
          <w:marBottom w:val="120"/>
          <w:divBdr>
            <w:top w:val="none" w:sz="0" w:space="0" w:color="auto"/>
            <w:left w:val="none" w:sz="0" w:space="0" w:color="auto"/>
            <w:bottom w:val="none" w:sz="0" w:space="0" w:color="auto"/>
            <w:right w:val="none" w:sz="0" w:space="0" w:color="auto"/>
          </w:divBdr>
        </w:div>
        <w:div w:id="2114857236">
          <w:marLeft w:val="965"/>
          <w:marRight w:val="0"/>
          <w:marTop w:val="0"/>
          <w:marBottom w:val="12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38964874">
      <w:bodyDiv w:val="1"/>
      <w:marLeft w:val="0"/>
      <w:marRight w:val="0"/>
      <w:marTop w:val="0"/>
      <w:marBottom w:val="0"/>
      <w:divBdr>
        <w:top w:val="none" w:sz="0" w:space="0" w:color="auto"/>
        <w:left w:val="none" w:sz="0" w:space="0" w:color="auto"/>
        <w:bottom w:val="none" w:sz="0" w:space="0" w:color="auto"/>
        <w:right w:val="none" w:sz="0" w:space="0" w:color="auto"/>
      </w:divBdr>
      <w:divsChild>
        <w:div w:id="1977028526">
          <w:marLeft w:val="0"/>
          <w:marRight w:val="0"/>
          <w:marTop w:val="0"/>
          <w:marBottom w:val="0"/>
          <w:divBdr>
            <w:top w:val="none" w:sz="0" w:space="0" w:color="auto"/>
            <w:left w:val="none" w:sz="0" w:space="0" w:color="auto"/>
            <w:bottom w:val="none" w:sz="0" w:space="0" w:color="auto"/>
            <w:right w:val="none" w:sz="0" w:space="0" w:color="auto"/>
          </w:divBdr>
          <w:divsChild>
            <w:div w:id="333073636">
              <w:marLeft w:val="0"/>
              <w:marRight w:val="0"/>
              <w:marTop w:val="0"/>
              <w:marBottom w:val="0"/>
              <w:divBdr>
                <w:top w:val="none" w:sz="0" w:space="0" w:color="auto"/>
                <w:left w:val="none" w:sz="0" w:space="0" w:color="auto"/>
                <w:bottom w:val="none" w:sz="0" w:space="0" w:color="auto"/>
                <w:right w:val="none" w:sz="0" w:space="0" w:color="auto"/>
              </w:divBdr>
              <w:divsChild>
                <w:div w:id="1886870271">
                  <w:marLeft w:val="0"/>
                  <w:marRight w:val="0"/>
                  <w:marTop w:val="0"/>
                  <w:marBottom w:val="0"/>
                  <w:divBdr>
                    <w:top w:val="none" w:sz="0" w:space="0" w:color="auto"/>
                    <w:left w:val="none" w:sz="0" w:space="0" w:color="auto"/>
                    <w:bottom w:val="none" w:sz="0" w:space="0" w:color="auto"/>
                    <w:right w:val="none" w:sz="0" w:space="0" w:color="auto"/>
                  </w:divBdr>
                  <w:divsChild>
                    <w:div w:id="1716389885">
                      <w:marLeft w:val="0"/>
                      <w:marRight w:val="0"/>
                      <w:marTop w:val="0"/>
                      <w:marBottom w:val="0"/>
                      <w:divBdr>
                        <w:top w:val="none" w:sz="0" w:space="0" w:color="auto"/>
                        <w:left w:val="none" w:sz="0" w:space="0" w:color="auto"/>
                        <w:bottom w:val="none" w:sz="0" w:space="0" w:color="auto"/>
                        <w:right w:val="none" w:sz="0" w:space="0" w:color="auto"/>
                      </w:divBdr>
                      <w:divsChild>
                        <w:div w:id="2132742655">
                          <w:marLeft w:val="0"/>
                          <w:marRight w:val="0"/>
                          <w:marTop w:val="0"/>
                          <w:marBottom w:val="0"/>
                          <w:divBdr>
                            <w:top w:val="none" w:sz="0" w:space="0" w:color="auto"/>
                            <w:left w:val="none" w:sz="0" w:space="0" w:color="auto"/>
                            <w:bottom w:val="none" w:sz="0" w:space="0" w:color="auto"/>
                            <w:right w:val="none" w:sz="0" w:space="0" w:color="auto"/>
                          </w:divBdr>
                          <w:divsChild>
                            <w:div w:id="69835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6795734">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45383428">
      <w:bodyDiv w:val="1"/>
      <w:marLeft w:val="0"/>
      <w:marRight w:val="0"/>
      <w:marTop w:val="0"/>
      <w:marBottom w:val="0"/>
      <w:divBdr>
        <w:top w:val="none" w:sz="0" w:space="0" w:color="auto"/>
        <w:left w:val="none" w:sz="0" w:space="0" w:color="auto"/>
        <w:bottom w:val="none" w:sz="0" w:space="0" w:color="auto"/>
        <w:right w:val="none" w:sz="0" w:space="0" w:color="auto"/>
      </w:divBdr>
    </w:div>
    <w:div w:id="273753308">
      <w:bodyDiv w:val="1"/>
      <w:marLeft w:val="0"/>
      <w:marRight w:val="0"/>
      <w:marTop w:val="0"/>
      <w:marBottom w:val="0"/>
      <w:divBdr>
        <w:top w:val="none" w:sz="0" w:space="0" w:color="auto"/>
        <w:left w:val="none" w:sz="0" w:space="0" w:color="auto"/>
        <w:bottom w:val="none" w:sz="0" w:space="0" w:color="auto"/>
        <w:right w:val="none" w:sz="0" w:space="0" w:color="auto"/>
      </w:divBdr>
      <w:divsChild>
        <w:div w:id="72900795">
          <w:marLeft w:val="0"/>
          <w:marRight w:val="0"/>
          <w:marTop w:val="0"/>
          <w:marBottom w:val="0"/>
          <w:divBdr>
            <w:top w:val="none" w:sz="0" w:space="0" w:color="auto"/>
            <w:left w:val="none" w:sz="0" w:space="0" w:color="auto"/>
            <w:bottom w:val="none" w:sz="0" w:space="0" w:color="auto"/>
            <w:right w:val="none" w:sz="0" w:space="0" w:color="auto"/>
          </w:divBdr>
          <w:divsChild>
            <w:div w:id="1282569905">
              <w:marLeft w:val="0"/>
              <w:marRight w:val="0"/>
              <w:marTop w:val="0"/>
              <w:marBottom w:val="0"/>
              <w:divBdr>
                <w:top w:val="none" w:sz="0" w:space="0" w:color="auto"/>
                <w:left w:val="none" w:sz="0" w:space="0" w:color="auto"/>
                <w:bottom w:val="none" w:sz="0" w:space="0" w:color="auto"/>
                <w:right w:val="none" w:sz="0" w:space="0" w:color="auto"/>
              </w:divBdr>
              <w:divsChild>
                <w:div w:id="853763381">
                  <w:marLeft w:val="0"/>
                  <w:marRight w:val="0"/>
                  <w:marTop w:val="0"/>
                  <w:marBottom w:val="0"/>
                  <w:divBdr>
                    <w:top w:val="none" w:sz="0" w:space="0" w:color="auto"/>
                    <w:left w:val="none" w:sz="0" w:space="0" w:color="auto"/>
                    <w:bottom w:val="none" w:sz="0" w:space="0" w:color="auto"/>
                    <w:right w:val="none" w:sz="0" w:space="0" w:color="auto"/>
                  </w:divBdr>
                  <w:divsChild>
                    <w:div w:id="1120494263">
                      <w:marLeft w:val="0"/>
                      <w:marRight w:val="0"/>
                      <w:marTop w:val="0"/>
                      <w:marBottom w:val="0"/>
                      <w:divBdr>
                        <w:top w:val="none" w:sz="0" w:space="0" w:color="auto"/>
                        <w:left w:val="none" w:sz="0" w:space="0" w:color="auto"/>
                        <w:bottom w:val="none" w:sz="0" w:space="0" w:color="auto"/>
                        <w:right w:val="none" w:sz="0" w:space="0" w:color="auto"/>
                      </w:divBdr>
                      <w:divsChild>
                        <w:div w:id="1806269577">
                          <w:marLeft w:val="0"/>
                          <w:marRight w:val="0"/>
                          <w:marTop w:val="0"/>
                          <w:marBottom w:val="0"/>
                          <w:divBdr>
                            <w:top w:val="none" w:sz="0" w:space="0" w:color="auto"/>
                            <w:left w:val="none" w:sz="0" w:space="0" w:color="auto"/>
                            <w:bottom w:val="none" w:sz="0" w:space="0" w:color="auto"/>
                            <w:right w:val="none" w:sz="0" w:space="0" w:color="auto"/>
                          </w:divBdr>
                          <w:divsChild>
                            <w:div w:id="18448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1634113">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5636597">
      <w:bodyDiv w:val="1"/>
      <w:marLeft w:val="0"/>
      <w:marRight w:val="0"/>
      <w:marTop w:val="0"/>
      <w:marBottom w:val="0"/>
      <w:divBdr>
        <w:top w:val="none" w:sz="0" w:space="0" w:color="auto"/>
        <w:left w:val="none" w:sz="0" w:space="0" w:color="auto"/>
        <w:bottom w:val="none" w:sz="0" w:space="0" w:color="auto"/>
        <w:right w:val="none" w:sz="0" w:space="0" w:color="auto"/>
      </w:divBdr>
      <w:divsChild>
        <w:div w:id="1232038953">
          <w:marLeft w:val="0"/>
          <w:marRight w:val="0"/>
          <w:marTop w:val="0"/>
          <w:marBottom w:val="0"/>
          <w:divBdr>
            <w:top w:val="none" w:sz="0" w:space="0" w:color="auto"/>
            <w:left w:val="none" w:sz="0" w:space="0" w:color="auto"/>
            <w:bottom w:val="none" w:sz="0" w:space="0" w:color="auto"/>
            <w:right w:val="none" w:sz="0" w:space="0" w:color="auto"/>
          </w:divBdr>
        </w:div>
      </w:divsChild>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677730554">
      <w:bodyDiv w:val="1"/>
      <w:marLeft w:val="0"/>
      <w:marRight w:val="0"/>
      <w:marTop w:val="0"/>
      <w:marBottom w:val="0"/>
      <w:divBdr>
        <w:top w:val="none" w:sz="0" w:space="0" w:color="auto"/>
        <w:left w:val="none" w:sz="0" w:space="0" w:color="auto"/>
        <w:bottom w:val="none" w:sz="0" w:space="0" w:color="auto"/>
        <w:right w:val="none" w:sz="0" w:space="0" w:color="auto"/>
      </w:divBdr>
      <w:divsChild>
        <w:div w:id="171341573">
          <w:marLeft w:val="0"/>
          <w:marRight w:val="0"/>
          <w:marTop w:val="0"/>
          <w:marBottom w:val="0"/>
          <w:divBdr>
            <w:top w:val="none" w:sz="0" w:space="0" w:color="auto"/>
            <w:left w:val="none" w:sz="0" w:space="0" w:color="auto"/>
            <w:bottom w:val="none" w:sz="0" w:space="0" w:color="auto"/>
            <w:right w:val="none" w:sz="0" w:space="0" w:color="auto"/>
          </w:divBdr>
          <w:divsChild>
            <w:div w:id="1786463023">
              <w:marLeft w:val="0"/>
              <w:marRight w:val="0"/>
              <w:marTop w:val="0"/>
              <w:marBottom w:val="0"/>
              <w:divBdr>
                <w:top w:val="none" w:sz="0" w:space="0" w:color="auto"/>
                <w:left w:val="none" w:sz="0" w:space="0" w:color="auto"/>
                <w:bottom w:val="none" w:sz="0" w:space="0" w:color="auto"/>
                <w:right w:val="none" w:sz="0" w:space="0" w:color="auto"/>
              </w:divBdr>
              <w:divsChild>
                <w:div w:id="43991594">
                  <w:marLeft w:val="0"/>
                  <w:marRight w:val="0"/>
                  <w:marTop w:val="0"/>
                  <w:marBottom w:val="0"/>
                  <w:divBdr>
                    <w:top w:val="none" w:sz="0" w:space="0" w:color="auto"/>
                    <w:left w:val="none" w:sz="0" w:space="0" w:color="auto"/>
                    <w:bottom w:val="none" w:sz="0" w:space="0" w:color="auto"/>
                    <w:right w:val="none" w:sz="0" w:space="0" w:color="auto"/>
                  </w:divBdr>
                  <w:divsChild>
                    <w:div w:id="1481120920">
                      <w:marLeft w:val="0"/>
                      <w:marRight w:val="0"/>
                      <w:marTop w:val="0"/>
                      <w:marBottom w:val="0"/>
                      <w:divBdr>
                        <w:top w:val="none" w:sz="0" w:space="0" w:color="auto"/>
                        <w:left w:val="none" w:sz="0" w:space="0" w:color="auto"/>
                        <w:bottom w:val="none" w:sz="0" w:space="0" w:color="auto"/>
                        <w:right w:val="none" w:sz="0" w:space="0" w:color="auto"/>
                      </w:divBdr>
                      <w:divsChild>
                        <w:div w:id="875967187">
                          <w:marLeft w:val="0"/>
                          <w:marRight w:val="0"/>
                          <w:marTop w:val="0"/>
                          <w:marBottom w:val="0"/>
                          <w:divBdr>
                            <w:top w:val="none" w:sz="0" w:space="0" w:color="auto"/>
                            <w:left w:val="none" w:sz="0" w:space="0" w:color="auto"/>
                            <w:bottom w:val="none" w:sz="0" w:space="0" w:color="auto"/>
                            <w:right w:val="none" w:sz="0" w:space="0" w:color="auto"/>
                          </w:divBdr>
                          <w:divsChild>
                            <w:div w:id="45475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795098698">
      <w:bodyDiv w:val="1"/>
      <w:marLeft w:val="0"/>
      <w:marRight w:val="0"/>
      <w:marTop w:val="0"/>
      <w:marBottom w:val="0"/>
      <w:divBdr>
        <w:top w:val="none" w:sz="0" w:space="0" w:color="auto"/>
        <w:left w:val="none" w:sz="0" w:space="0" w:color="auto"/>
        <w:bottom w:val="none" w:sz="0" w:space="0" w:color="auto"/>
        <w:right w:val="none" w:sz="0" w:space="0" w:color="auto"/>
      </w:divBdr>
    </w:div>
    <w:div w:id="816461800">
      <w:bodyDiv w:val="1"/>
      <w:marLeft w:val="0"/>
      <w:marRight w:val="0"/>
      <w:marTop w:val="0"/>
      <w:marBottom w:val="0"/>
      <w:divBdr>
        <w:top w:val="none" w:sz="0" w:space="0" w:color="auto"/>
        <w:left w:val="none" w:sz="0" w:space="0" w:color="auto"/>
        <w:bottom w:val="none" w:sz="0" w:space="0" w:color="auto"/>
        <w:right w:val="none" w:sz="0" w:space="0" w:color="auto"/>
      </w:divBdr>
    </w:div>
    <w:div w:id="833640702">
      <w:bodyDiv w:val="1"/>
      <w:marLeft w:val="0"/>
      <w:marRight w:val="0"/>
      <w:marTop w:val="0"/>
      <w:marBottom w:val="0"/>
      <w:divBdr>
        <w:top w:val="none" w:sz="0" w:space="0" w:color="auto"/>
        <w:left w:val="none" w:sz="0" w:space="0" w:color="auto"/>
        <w:bottom w:val="none" w:sz="0" w:space="0" w:color="auto"/>
        <w:right w:val="none" w:sz="0" w:space="0" w:color="auto"/>
      </w:divBdr>
      <w:divsChild>
        <w:div w:id="580799559">
          <w:marLeft w:val="0"/>
          <w:marRight w:val="0"/>
          <w:marTop w:val="0"/>
          <w:marBottom w:val="0"/>
          <w:divBdr>
            <w:top w:val="single" w:sz="2" w:space="0" w:color="E5E7EB"/>
            <w:left w:val="single" w:sz="2" w:space="0" w:color="E5E7EB"/>
            <w:bottom w:val="single" w:sz="2" w:space="0" w:color="E5E7EB"/>
            <w:right w:val="single" w:sz="2" w:space="0" w:color="E5E7EB"/>
          </w:divBdr>
          <w:divsChild>
            <w:div w:id="1660420507">
              <w:marLeft w:val="0"/>
              <w:marRight w:val="0"/>
              <w:marTop w:val="0"/>
              <w:marBottom w:val="0"/>
              <w:divBdr>
                <w:top w:val="single" w:sz="2" w:space="0" w:color="E5E7EB"/>
                <w:left w:val="single" w:sz="2" w:space="0" w:color="E5E7EB"/>
                <w:bottom w:val="single" w:sz="2" w:space="0" w:color="E5E7EB"/>
                <w:right w:val="single" w:sz="2" w:space="0" w:color="E5E7EB"/>
              </w:divBdr>
              <w:divsChild>
                <w:div w:id="1564828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12355460">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989289673">
      <w:bodyDiv w:val="1"/>
      <w:marLeft w:val="0"/>
      <w:marRight w:val="0"/>
      <w:marTop w:val="0"/>
      <w:marBottom w:val="0"/>
      <w:divBdr>
        <w:top w:val="none" w:sz="0" w:space="0" w:color="auto"/>
        <w:left w:val="none" w:sz="0" w:space="0" w:color="auto"/>
        <w:bottom w:val="none" w:sz="0" w:space="0" w:color="auto"/>
        <w:right w:val="none" w:sz="0" w:space="0" w:color="auto"/>
      </w:divBdr>
      <w:divsChild>
        <w:div w:id="1637182810">
          <w:marLeft w:val="0"/>
          <w:marRight w:val="0"/>
          <w:marTop w:val="0"/>
          <w:marBottom w:val="0"/>
          <w:divBdr>
            <w:top w:val="none" w:sz="0" w:space="0" w:color="auto"/>
            <w:left w:val="none" w:sz="0" w:space="0" w:color="auto"/>
            <w:bottom w:val="none" w:sz="0" w:space="0" w:color="auto"/>
            <w:right w:val="none" w:sz="0" w:space="0" w:color="auto"/>
          </w:divBdr>
          <w:divsChild>
            <w:div w:id="1447919214">
              <w:marLeft w:val="0"/>
              <w:marRight w:val="0"/>
              <w:marTop w:val="0"/>
              <w:marBottom w:val="0"/>
              <w:divBdr>
                <w:top w:val="none" w:sz="0" w:space="0" w:color="auto"/>
                <w:left w:val="none" w:sz="0" w:space="0" w:color="auto"/>
                <w:bottom w:val="none" w:sz="0" w:space="0" w:color="auto"/>
                <w:right w:val="none" w:sz="0" w:space="0" w:color="auto"/>
              </w:divBdr>
              <w:divsChild>
                <w:div w:id="1397431854">
                  <w:marLeft w:val="0"/>
                  <w:marRight w:val="0"/>
                  <w:marTop w:val="0"/>
                  <w:marBottom w:val="0"/>
                  <w:divBdr>
                    <w:top w:val="none" w:sz="0" w:space="0" w:color="auto"/>
                    <w:left w:val="none" w:sz="0" w:space="0" w:color="auto"/>
                    <w:bottom w:val="none" w:sz="0" w:space="0" w:color="auto"/>
                    <w:right w:val="none" w:sz="0" w:space="0" w:color="auto"/>
                  </w:divBdr>
                  <w:divsChild>
                    <w:div w:id="2067024616">
                      <w:marLeft w:val="0"/>
                      <w:marRight w:val="0"/>
                      <w:marTop w:val="0"/>
                      <w:marBottom w:val="0"/>
                      <w:divBdr>
                        <w:top w:val="none" w:sz="0" w:space="0" w:color="auto"/>
                        <w:left w:val="none" w:sz="0" w:space="0" w:color="auto"/>
                        <w:bottom w:val="none" w:sz="0" w:space="0" w:color="auto"/>
                        <w:right w:val="none" w:sz="0" w:space="0" w:color="auto"/>
                      </w:divBdr>
                      <w:divsChild>
                        <w:div w:id="2075808623">
                          <w:marLeft w:val="0"/>
                          <w:marRight w:val="0"/>
                          <w:marTop w:val="0"/>
                          <w:marBottom w:val="0"/>
                          <w:divBdr>
                            <w:top w:val="none" w:sz="0" w:space="0" w:color="auto"/>
                            <w:left w:val="none" w:sz="0" w:space="0" w:color="auto"/>
                            <w:bottom w:val="none" w:sz="0" w:space="0" w:color="auto"/>
                            <w:right w:val="none" w:sz="0" w:space="0" w:color="auto"/>
                          </w:divBdr>
                          <w:divsChild>
                            <w:div w:id="70544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8272054">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2047915">
      <w:bodyDiv w:val="1"/>
      <w:marLeft w:val="0"/>
      <w:marRight w:val="0"/>
      <w:marTop w:val="0"/>
      <w:marBottom w:val="0"/>
      <w:divBdr>
        <w:top w:val="none" w:sz="0" w:space="0" w:color="auto"/>
        <w:left w:val="none" w:sz="0" w:space="0" w:color="auto"/>
        <w:bottom w:val="none" w:sz="0" w:space="0" w:color="auto"/>
        <w:right w:val="none" w:sz="0" w:space="0" w:color="auto"/>
      </w:divBdr>
      <w:divsChild>
        <w:div w:id="1351569252">
          <w:marLeft w:val="965"/>
          <w:marRight w:val="0"/>
          <w:marTop w:val="0"/>
          <w:marBottom w:val="120"/>
          <w:divBdr>
            <w:top w:val="none" w:sz="0" w:space="0" w:color="auto"/>
            <w:left w:val="none" w:sz="0" w:space="0" w:color="auto"/>
            <w:bottom w:val="none" w:sz="0" w:space="0" w:color="auto"/>
            <w:right w:val="none" w:sz="0" w:space="0" w:color="auto"/>
          </w:divBdr>
        </w:div>
        <w:div w:id="36207079">
          <w:marLeft w:val="965"/>
          <w:marRight w:val="0"/>
          <w:marTop w:val="0"/>
          <w:marBottom w:val="120"/>
          <w:divBdr>
            <w:top w:val="none" w:sz="0" w:space="0" w:color="auto"/>
            <w:left w:val="none" w:sz="0" w:space="0" w:color="auto"/>
            <w:bottom w:val="none" w:sz="0" w:space="0" w:color="auto"/>
            <w:right w:val="none" w:sz="0" w:space="0" w:color="auto"/>
          </w:divBdr>
        </w:div>
      </w:divsChild>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35449484">
      <w:bodyDiv w:val="1"/>
      <w:marLeft w:val="0"/>
      <w:marRight w:val="0"/>
      <w:marTop w:val="0"/>
      <w:marBottom w:val="0"/>
      <w:divBdr>
        <w:top w:val="none" w:sz="0" w:space="0" w:color="auto"/>
        <w:left w:val="none" w:sz="0" w:space="0" w:color="auto"/>
        <w:bottom w:val="none" w:sz="0" w:space="0" w:color="auto"/>
        <w:right w:val="none" w:sz="0" w:space="0" w:color="auto"/>
      </w:divBdr>
      <w:divsChild>
        <w:div w:id="973215844">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0"/>
              <w:marRight w:val="0"/>
              <w:marTop w:val="0"/>
              <w:marBottom w:val="0"/>
              <w:divBdr>
                <w:top w:val="none" w:sz="0" w:space="0" w:color="auto"/>
                <w:left w:val="none" w:sz="0" w:space="0" w:color="auto"/>
                <w:bottom w:val="none" w:sz="0" w:space="0" w:color="auto"/>
                <w:right w:val="none" w:sz="0" w:space="0" w:color="auto"/>
              </w:divBdr>
              <w:divsChild>
                <w:div w:id="91824853">
                  <w:marLeft w:val="0"/>
                  <w:marRight w:val="0"/>
                  <w:marTop w:val="0"/>
                  <w:marBottom w:val="0"/>
                  <w:divBdr>
                    <w:top w:val="none" w:sz="0" w:space="0" w:color="auto"/>
                    <w:left w:val="none" w:sz="0" w:space="0" w:color="auto"/>
                    <w:bottom w:val="none" w:sz="0" w:space="0" w:color="auto"/>
                    <w:right w:val="none" w:sz="0" w:space="0" w:color="auto"/>
                  </w:divBdr>
                  <w:divsChild>
                    <w:div w:id="87043275">
                      <w:marLeft w:val="0"/>
                      <w:marRight w:val="0"/>
                      <w:marTop w:val="0"/>
                      <w:marBottom w:val="0"/>
                      <w:divBdr>
                        <w:top w:val="none" w:sz="0" w:space="0" w:color="auto"/>
                        <w:left w:val="none" w:sz="0" w:space="0" w:color="auto"/>
                        <w:bottom w:val="none" w:sz="0" w:space="0" w:color="auto"/>
                        <w:right w:val="none" w:sz="0" w:space="0" w:color="auto"/>
                      </w:divBdr>
                      <w:divsChild>
                        <w:div w:id="762529427">
                          <w:marLeft w:val="0"/>
                          <w:marRight w:val="0"/>
                          <w:marTop w:val="0"/>
                          <w:marBottom w:val="0"/>
                          <w:divBdr>
                            <w:top w:val="none" w:sz="0" w:space="0" w:color="auto"/>
                            <w:left w:val="none" w:sz="0" w:space="0" w:color="auto"/>
                            <w:bottom w:val="none" w:sz="0" w:space="0" w:color="auto"/>
                            <w:right w:val="none" w:sz="0" w:space="0" w:color="auto"/>
                          </w:divBdr>
                          <w:divsChild>
                            <w:div w:id="37200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9690977">
      <w:bodyDiv w:val="1"/>
      <w:marLeft w:val="0"/>
      <w:marRight w:val="0"/>
      <w:marTop w:val="0"/>
      <w:marBottom w:val="0"/>
      <w:divBdr>
        <w:top w:val="none" w:sz="0" w:space="0" w:color="auto"/>
        <w:left w:val="none" w:sz="0" w:space="0" w:color="auto"/>
        <w:bottom w:val="none" w:sz="0" w:space="0" w:color="auto"/>
        <w:right w:val="none" w:sz="0" w:space="0" w:color="auto"/>
      </w:divBdr>
      <w:divsChild>
        <w:div w:id="1659654769">
          <w:marLeft w:val="0"/>
          <w:marRight w:val="0"/>
          <w:marTop w:val="0"/>
          <w:marBottom w:val="0"/>
          <w:divBdr>
            <w:top w:val="none" w:sz="0" w:space="0" w:color="auto"/>
            <w:left w:val="none" w:sz="0" w:space="0" w:color="auto"/>
            <w:bottom w:val="none" w:sz="0" w:space="0" w:color="auto"/>
            <w:right w:val="none" w:sz="0" w:space="0" w:color="auto"/>
          </w:divBdr>
          <w:divsChild>
            <w:div w:id="1485387112">
              <w:marLeft w:val="0"/>
              <w:marRight w:val="0"/>
              <w:marTop w:val="0"/>
              <w:marBottom w:val="0"/>
              <w:divBdr>
                <w:top w:val="none" w:sz="0" w:space="0" w:color="auto"/>
                <w:left w:val="none" w:sz="0" w:space="0" w:color="auto"/>
                <w:bottom w:val="none" w:sz="0" w:space="0" w:color="auto"/>
                <w:right w:val="none" w:sz="0" w:space="0" w:color="auto"/>
              </w:divBdr>
              <w:divsChild>
                <w:div w:id="821118656">
                  <w:marLeft w:val="0"/>
                  <w:marRight w:val="0"/>
                  <w:marTop w:val="0"/>
                  <w:marBottom w:val="0"/>
                  <w:divBdr>
                    <w:top w:val="none" w:sz="0" w:space="0" w:color="auto"/>
                    <w:left w:val="none" w:sz="0" w:space="0" w:color="auto"/>
                    <w:bottom w:val="none" w:sz="0" w:space="0" w:color="auto"/>
                    <w:right w:val="none" w:sz="0" w:space="0" w:color="auto"/>
                  </w:divBdr>
                  <w:divsChild>
                    <w:div w:id="93786188">
                      <w:marLeft w:val="0"/>
                      <w:marRight w:val="0"/>
                      <w:marTop w:val="0"/>
                      <w:marBottom w:val="0"/>
                      <w:divBdr>
                        <w:top w:val="none" w:sz="0" w:space="0" w:color="auto"/>
                        <w:left w:val="none" w:sz="0" w:space="0" w:color="auto"/>
                        <w:bottom w:val="none" w:sz="0" w:space="0" w:color="auto"/>
                        <w:right w:val="none" w:sz="0" w:space="0" w:color="auto"/>
                      </w:divBdr>
                      <w:divsChild>
                        <w:div w:id="616331790">
                          <w:marLeft w:val="0"/>
                          <w:marRight w:val="0"/>
                          <w:marTop w:val="0"/>
                          <w:marBottom w:val="0"/>
                          <w:divBdr>
                            <w:top w:val="none" w:sz="0" w:space="0" w:color="auto"/>
                            <w:left w:val="none" w:sz="0" w:space="0" w:color="auto"/>
                            <w:bottom w:val="none" w:sz="0" w:space="0" w:color="auto"/>
                            <w:right w:val="none" w:sz="0" w:space="0" w:color="auto"/>
                          </w:divBdr>
                          <w:divsChild>
                            <w:div w:id="4640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41148097">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18814962">
      <w:bodyDiv w:val="1"/>
      <w:marLeft w:val="0"/>
      <w:marRight w:val="0"/>
      <w:marTop w:val="0"/>
      <w:marBottom w:val="0"/>
      <w:divBdr>
        <w:top w:val="none" w:sz="0" w:space="0" w:color="auto"/>
        <w:left w:val="none" w:sz="0" w:space="0" w:color="auto"/>
        <w:bottom w:val="none" w:sz="0" w:space="0" w:color="auto"/>
        <w:right w:val="none" w:sz="0" w:space="0" w:color="auto"/>
      </w:divBdr>
      <w:divsChild>
        <w:div w:id="1599605848">
          <w:marLeft w:val="0"/>
          <w:marRight w:val="0"/>
          <w:marTop w:val="0"/>
          <w:marBottom w:val="0"/>
          <w:divBdr>
            <w:top w:val="single" w:sz="2" w:space="0" w:color="E5E7EB"/>
            <w:left w:val="single" w:sz="2" w:space="0" w:color="E5E7EB"/>
            <w:bottom w:val="single" w:sz="2" w:space="0" w:color="E5E7EB"/>
            <w:right w:val="single" w:sz="2" w:space="0" w:color="E5E7EB"/>
          </w:divBdr>
          <w:divsChild>
            <w:div w:id="1245341349">
              <w:marLeft w:val="0"/>
              <w:marRight w:val="0"/>
              <w:marTop w:val="0"/>
              <w:marBottom w:val="0"/>
              <w:divBdr>
                <w:top w:val="single" w:sz="2" w:space="0" w:color="E5E7EB"/>
                <w:left w:val="single" w:sz="2" w:space="0" w:color="E5E7EB"/>
                <w:bottom w:val="single" w:sz="2" w:space="0" w:color="E5E7EB"/>
                <w:right w:val="single" w:sz="2" w:space="0" w:color="E5E7EB"/>
              </w:divBdr>
              <w:divsChild>
                <w:div w:id="1787851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60696477">
      <w:bodyDiv w:val="1"/>
      <w:marLeft w:val="0"/>
      <w:marRight w:val="0"/>
      <w:marTop w:val="0"/>
      <w:marBottom w:val="0"/>
      <w:divBdr>
        <w:top w:val="none" w:sz="0" w:space="0" w:color="auto"/>
        <w:left w:val="none" w:sz="0" w:space="0" w:color="auto"/>
        <w:bottom w:val="none" w:sz="0" w:space="0" w:color="auto"/>
        <w:right w:val="none" w:sz="0" w:space="0" w:color="auto"/>
      </w:divBdr>
      <w:divsChild>
        <w:div w:id="1721436850">
          <w:marLeft w:val="0"/>
          <w:marRight w:val="0"/>
          <w:marTop w:val="0"/>
          <w:marBottom w:val="0"/>
          <w:divBdr>
            <w:top w:val="none" w:sz="0" w:space="0" w:color="auto"/>
            <w:left w:val="none" w:sz="0" w:space="0" w:color="auto"/>
            <w:bottom w:val="none" w:sz="0" w:space="0" w:color="auto"/>
            <w:right w:val="none" w:sz="0" w:space="0" w:color="auto"/>
          </w:divBdr>
          <w:divsChild>
            <w:div w:id="772673807">
              <w:marLeft w:val="0"/>
              <w:marRight w:val="0"/>
              <w:marTop w:val="0"/>
              <w:marBottom w:val="0"/>
              <w:divBdr>
                <w:top w:val="none" w:sz="0" w:space="0" w:color="auto"/>
                <w:left w:val="none" w:sz="0" w:space="0" w:color="auto"/>
                <w:bottom w:val="none" w:sz="0" w:space="0" w:color="auto"/>
                <w:right w:val="none" w:sz="0" w:space="0" w:color="auto"/>
              </w:divBdr>
              <w:divsChild>
                <w:div w:id="1433819076">
                  <w:marLeft w:val="0"/>
                  <w:marRight w:val="0"/>
                  <w:marTop w:val="0"/>
                  <w:marBottom w:val="0"/>
                  <w:divBdr>
                    <w:top w:val="none" w:sz="0" w:space="0" w:color="auto"/>
                    <w:left w:val="none" w:sz="0" w:space="0" w:color="auto"/>
                    <w:bottom w:val="none" w:sz="0" w:space="0" w:color="auto"/>
                    <w:right w:val="none" w:sz="0" w:space="0" w:color="auto"/>
                  </w:divBdr>
                  <w:divsChild>
                    <w:div w:id="941228204">
                      <w:marLeft w:val="0"/>
                      <w:marRight w:val="0"/>
                      <w:marTop w:val="0"/>
                      <w:marBottom w:val="0"/>
                      <w:divBdr>
                        <w:top w:val="none" w:sz="0" w:space="0" w:color="auto"/>
                        <w:left w:val="none" w:sz="0" w:space="0" w:color="auto"/>
                        <w:bottom w:val="none" w:sz="0" w:space="0" w:color="auto"/>
                        <w:right w:val="none" w:sz="0" w:space="0" w:color="auto"/>
                      </w:divBdr>
                      <w:divsChild>
                        <w:div w:id="523060727">
                          <w:marLeft w:val="0"/>
                          <w:marRight w:val="0"/>
                          <w:marTop w:val="0"/>
                          <w:marBottom w:val="0"/>
                          <w:divBdr>
                            <w:top w:val="none" w:sz="0" w:space="0" w:color="auto"/>
                            <w:left w:val="none" w:sz="0" w:space="0" w:color="auto"/>
                            <w:bottom w:val="none" w:sz="0" w:space="0" w:color="auto"/>
                            <w:right w:val="none" w:sz="0" w:space="0" w:color="auto"/>
                          </w:divBdr>
                          <w:divsChild>
                            <w:div w:id="183750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39015762">
      <w:bodyDiv w:val="1"/>
      <w:marLeft w:val="0"/>
      <w:marRight w:val="0"/>
      <w:marTop w:val="0"/>
      <w:marBottom w:val="0"/>
      <w:divBdr>
        <w:top w:val="none" w:sz="0" w:space="0" w:color="auto"/>
        <w:left w:val="none" w:sz="0" w:space="0" w:color="auto"/>
        <w:bottom w:val="none" w:sz="0" w:space="0" w:color="auto"/>
        <w:right w:val="none" w:sz="0" w:space="0" w:color="auto"/>
      </w:divBdr>
      <w:divsChild>
        <w:div w:id="2085712359">
          <w:marLeft w:val="0"/>
          <w:marRight w:val="0"/>
          <w:marTop w:val="0"/>
          <w:marBottom w:val="0"/>
          <w:divBdr>
            <w:top w:val="none" w:sz="0" w:space="0" w:color="auto"/>
            <w:left w:val="none" w:sz="0" w:space="0" w:color="auto"/>
            <w:bottom w:val="none" w:sz="0" w:space="0" w:color="auto"/>
            <w:right w:val="none" w:sz="0" w:space="0" w:color="auto"/>
          </w:divBdr>
          <w:divsChild>
            <w:div w:id="124206378">
              <w:marLeft w:val="0"/>
              <w:marRight w:val="0"/>
              <w:marTop w:val="0"/>
              <w:marBottom w:val="0"/>
              <w:divBdr>
                <w:top w:val="none" w:sz="0" w:space="0" w:color="auto"/>
                <w:left w:val="none" w:sz="0" w:space="0" w:color="auto"/>
                <w:bottom w:val="none" w:sz="0" w:space="0" w:color="auto"/>
                <w:right w:val="none" w:sz="0" w:space="0" w:color="auto"/>
              </w:divBdr>
              <w:divsChild>
                <w:div w:id="1484005221">
                  <w:marLeft w:val="0"/>
                  <w:marRight w:val="0"/>
                  <w:marTop w:val="0"/>
                  <w:marBottom w:val="0"/>
                  <w:divBdr>
                    <w:top w:val="none" w:sz="0" w:space="0" w:color="auto"/>
                    <w:left w:val="none" w:sz="0" w:space="0" w:color="auto"/>
                    <w:bottom w:val="none" w:sz="0" w:space="0" w:color="auto"/>
                    <w:right w:val="none" w:sz="0" w:space="0" w:color="auto"/>
                  </w:divBdr>
                  <w:divsChild>
                    <w:div w:id="1707751927">
                      <w:marLeft w:val="0"/>
                      <w:marRight w:val="0"/>
                      <w:marTop w:val="0"/>
                      <w:marBottom w:val="0"/>
                      <w:divBdr>
                        <w:top w:val="none" w:sz="0" w:space="0" w:color="auto"/>
                        <w:left w:val="none" w:sz="0" w:space="0" w:color="auto"/>
                        <w:bottom w:val="none" w:sz="0" w:space="0" w:color="auto"/>
                        <w:right w:val="none" w:sz="0" w:space="0" w:color="auto"/>
                      </w:divBdr>
                      <w:divsChild>
                        <w:div w:id="1863586570">
                          <w:marLeft w:val="0"/>
                          <w:marRight w:val="0"/>
                          <w:marTop w:val="0"/>
                          <w:marBottom w:val="0"/>
                          <w:divBdr>
                            <w:top w:val="none" w:sz="0" w:space="0" w:color="auto"/>
                            <w:left w:val="none" w:sz="0" w:space="0" w:color="auto"/>
                            <w:bottom w:val="none" w:sz="0" w:space="0" w:color="auto"/>
                            <w:right w:val="none" w:sz="0" w:space="0" w:color="auto"/>
                          </w:divBdr>
                          <w:divsChild>
                            <w:div w:id="78160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1695535">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07536585">
      <w:bodyDiv w:val="1"/>
      <w:marLeft w:val="0"/>
      <w:marRight w:val="0"/>
      <w:marTop w:val="0"/>
      <w:marBottom w:val="0"/>
      <w:divBdr>
        <w:top w:val="none" w:sz="0" w:space="0" w:color="auto"/>
        <w:left w:val="none" w:sz="0" w:space="0" w:color="auto"/>
        <w:bottom w:val="none" w:sz="0" w:space="0" w:color="auto"/>
        <w:right w:val="none" w:sz="0" w:space="0" w:color="auto"/>
      </w:divBdr>
      <w:divsChild>
        <w:div w:id="1788892873">
          <w:marLeft w:val="0"/>
          <w:marRight w:val="0"/>
          <w:marTop w:val="0"/>
          <w:marBottom w:val="0"/>
          <w:divBdr>
            <w:top w:val="none" w:sz="0" w:space="0" w:color="auto"/>
            <w:left w:val="none" w:sz="0" w:space="0" w:color="auto"/>
            <w:bottom w:val="none" w:sz="0" w:space="0" w:color="auto"/>
            <w:right w:val="none" w:sz="0" w:space="0" w:color="auto"/>
          </w:divBdr>
          <w:divsChild>
            <w:div w:id="118845811">
              <w:marLeft w:val="0"/>
              <w:marRight w:val="0"/>
              <w:marTop w:val="0"/>
              <w:marBottom w:val="0"/>
              <w:divBdr>
                <w:top w:val="none" w:sz="0" w:space="0" w:color="auto"/>
                <w:left w:val="none" w:sz="0" w:space="0" w:color="auto"/>
                <w:bottom w:val="none" w:sz="0" w:space="0" w:color="auto"/>
                <w:right w:val="none" w:sz="0" w:space="0" w:color="auto"/>
              </w:divBdr>
              <w:divsChild>
                <w:div w:id="327053030">
                  <w:marLeft w:val="0"/>
                  <w:marRight w:val="0"/>
                  <w:marTop w:val="0"/>
                  <w:marBottom w:val="0"/>
                  <w:divBdr>
                    <w:top w:val="none" w:sz="0" w:space="0" w:color="auto"/>
                    <w:left w:val="none" w:sz="0" w:space="0" w:color="auto"/>
                    <w:bottom w:val="none" w:sz="0" w:space="0" w:color="auto"/>
                    <w:right w:val="none" w:sz="0" w:space="0" w:color="auto"/>
                  </w:divBdr>
                  <w:divsChild>
                    <w:div w:id="317419475">
                      <w:marLeft w:val="0"/>
                      <w:marRight w:val="0"/>
                      <w:marTop w:val="0"/>
                      <w:marBottom w:val="0"/>
                      <w:divBdr>
                        <w:top w:val="none" w:sz="0" w:space="0" w:color="auto"/>
                        <w:left w:val="none" w:sz="0" w:space="0" w:color="auto"/>
                        <w:bottom w:val="none" w:sz="0" w:space="0" w:color="auto"/>
                        <w:right w:val="none" w:sz="0" w:space="0" w:color="auto"/>
                      </w:divBdr>
                      <w:divsChild>
                        <w:div w:id="1510370692">
                          <w:marLeft w:val="0"/>
                          <w:marRight w:val="0"/>
                          <w:marTop w:val="0"/>
                          <w:marBottom w:val="0"/>
                          <w:divBdr>
                            <w:top w:val="none" w:sz="0" w:space="0" w:color="auto"/>
                            <w:left w:val="none" w:sz="0" w:space="0" w:color="auto"/>
                            <w:bottom w:val="none" w:sz="0" w:space="0" w:color="auto"/>
                            <w:right w:val="none" w:sz="0" w:space="0" w:color="auto"/>
                          </w:divBdr>
                          <w:divsChild>
                            <w:div w:id="124846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1724E-476C-4FA8-8DD8-AEF64C8F4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TotalTime>
  <Pages>3</Pages>
  <Words>1027</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Huawei-post129b</cp:lastModifiedBy>
  <cp:revision>4</cp:revision>
  <cp:lastPrinted>2016-05-09T11:19:00Z</cp:lastPrinted>
  <dcterms:created xsi:type="dcterms:W3CDTF">2025-05-09T01:54:00Z</dcterms:created>
  <dcterms:modified xsi:type="dcterms:W3CDTF">2025-05-09T04:03:00Z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1746500650</vt:lpwstr>
  </property>
</Properties>
</file>